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DA519" w14:textId="77777777" w:rsidR="00814DDC" w:rsidRPr="00814DDC" w:rsidRDefault="00814DDC" w:rsidP="00814DDC">
      <w:pPr>
        <w:rPr>
          <w:rFonts w:ascii="Arial" w:hAnsi="Arial" w:cs="Arial"/>
          <w:sz w:val="32"/>
          <w:szCs w:val="32"/>
        </w:rPr>
      </w:pPr>
      <w:r w:rsidRPr="00814DDC">
        <w:rPr>
          <w:rFonts w:ascii="Arial" w:hAnsi="Arial" w:cs="Arial"/>
          <w:sz w:val="32"/>
          <w:szCs w:val="32"/>
        </w:rPr>
        <w:t>Constitution or Articles of Association</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6AD58C80" w:rsidR="00646FDE" w:rsidRPr="00551920" w:rsidRDefault="00814DDC">
      <w:pPr>
        <w:rPr>
          <w:rFonts w:ascii="Arial" w:hAnsi="Arial" w:cs="Arial"/>
          <w:sz w:val="22"/>
          <w:szCs w:val="22"/>
        </w:rPr>
      </w:pPr>
      <w:r w:rsidRPr="00814DDC">
        <w:rPr>
          <w:rFonts w:ascii="Arial" w:hAnsi="Arial" w:cs="Arial"/>
          <w:sz w:val="22"/>
          <w:szCs w:val="22"/>
        </w:rPr>
        <w:t>Use this template to review the target company's constitution and (if applicable) the constitution of a subsidiary of the target company. This template records more detailed information about the constitution so it can be incorporated in other parts of the report. You can also use this template for an 'Articles of Association' or a 'Memorandum of Association' and edit it to account for any differences between the documents.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35E37904" w:rsidR="009E672F" w:rsidRPr="00C9266E" w:rsidRDefault="00814DDC" w:rsidP="009E672F">
            <w:pPr>
              <w:rPr>
                <w:rFonts w:ascii="Arial" w:hAnsi="Arial" w:cs="Arial"/>
                <w:b/>
                <w:bCs/>
                <w:sz w:val="20"/>
                <w:szCs w:val="20"/>
              </w:rPr>
            </w:pPr>
            <w:r>
              <w:rPr>
                <w:rFonts w:ascii="Arial" w:hAnsi="Arial" w:cs="Arial"/>
                <w:b/>
                <w:bCs/>
                <w:sz w:val="20"/>
                <w:szCs w:val="20"/>
              </w:rPr>
              <w:t>Company</w:t>
            </w:r>
          </w:p>
        </w:tc>
        <w:tc>
          <w:tcPr>
            <w:tcW w:w="2222" w:type="pct"/>
          </w:tcPr>
          <w:p w14:paraId="22B770A0" w14:textId="239A7DC2" w:rsidR="009E672F" w:rsidRPr="00814DDC" w:rsidRDefault="00814DDC" w:rsidP="00814DDC">
            <w:pPr>
              <w:tabs>
                <w:tab w:val="left" w:pos="4074"/>
              </w:tabs>
              <w:rPr>
                <w:rFonts w:ascii="Arial" w:hAnsi="Arial" w:cs="Arial"/>
                <w:i/>
                <w:iCs/>
                <w:sz w:val="20"/>
                <w:szCs w:val="20"/>
              </w:rPr>
            </w:pPr>
            <w:r w:rsidRPr="00814DDC">
              <w:rPr>
                <w:rFonts w:ascii="Arial" w:hAnsi="Arial" w:cs="Arial"/>
                <w:i/>
                <w:iCs/>
                <w:sz w:val="20"/>
                <w:szCs w:val="20"/>
              </w:rPr>
              <w:t>Specify the company whom this Constitution or Articles of Association relates</w:t>
            </w:r>
          </w:p>
        </w:tc>
        <w:tc>
          <w:tcPr>
            <w:tcW w:w="1632" w:type="pct"/>
          </w:tcPr>
          <w:p w14:paraId="1A12AC5E" w14:textId="24C4888E" w:rsidR="009E672F" w:rsidRPr="005058B7" w:rsidRDefault="009E672F">
            <w:pPr>
              <w:rPr>
                <w:rFonts w:ascii="Arial" w:hAnsi="Arial" w:cs="Arial"/>
                <w:sz w:val="20"/>
                <w:szCs w:val="20"/>
              </w:rPr>
            </w:pPr>
          </w:p>
        </w:tc>
      </w:tr>
      <w:tr w:rsidR="005058B7" w:rsidRPr="005058B7" w14:paraId="675ED67E" w14:textId="77777777" w:rsidTr="00551920">
        <w:tc>
          <w:tcPr>
            <w:tcW w:w="5000" w:type="pct"/>
            <w:gridSpan w:val="4"/>
            <w:shd w:val="clear" w:color="auto" w:fill="D9D9D9" w:themeFill="background1" w:themeFillShade="D9"/>
          </w:tcPr>
          <w:p w14:paraId="27F7C575" w14:textId="2DBF24E3" w:rsidR="00814DDC" w:rsidRPr="00814DDC" w:rsidRDefault="00814DDC" w:rsidP="00646FDE">
            <w:pPr>
              <w:jc w:val="both"/>
              <w:rPr>
                <w:rFonts w:ascii="Arial" w:hAnsi="Arial" w:cs="Arial"/>
                <w:b/>
                <w:bCs/>
                <w:sz w:val="20"/>
                <w:szCs w:val="20"/>
              </w:rPr>
            </w:pPr>
            <w:r>
              <w:rPr>
                <w:rFonts w:ascii="Arial" w:hAnsi="Arial" w:cs="Arial"/>
                <w:b/>
                <w:bCs/>
                <w:sz w:val="20"/>
                <w:szCs w:val="20"/>
              </w:rPr>
              <w:t>R</w:t>
            </w:r>
            <w:r w:rsidRPr="00814DDC">
              <w:rPr>
                <w:rFonts w:ascii="Arial" w:hAnsi="Arial" w:cs="Arial"/>
                <w:b/>
                <w:bCs/>
                <w:sz w:val="20"/>
                <w:szCs w:val="20"/>
              </w:rPr>
              <w:t>estrictions on the shareholders transferring, disposing or otherwise dealing with shares in the Company</w:t>
            </w:r>
          </w:p>
        </w:tc>
      </w:tr>
      <w:tr w:rsidR="00646FDE" w:rsidRPr="005058B7" w14:paraId="6FA07F5B" w14:textId="77777777" w:rsidTr="00646FDE">
        <w:trPr>
          <w:trHeight w:val="152"/>
        </w:trPr>
        <w:tc>
          <w:tcPr>
            <w:tcW w:w="326" w:type="pct"/>
            <w:vMerge w:val="restart"/>
          </w:tcPr>
          <w:p w14:paraId="4922078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val="restart"/>
          </w:tcPr>
          <w:p w14:paraId="3987EC9C" w14:textId="7584AC47" w:rsidR="00C01E14" w:rsidRPr="00C9266E" w:rsidRDefault="00C01E14">
            <w:pPr>
              <w:rPr>
                <w:rFonts w:ascii="Arial" w:hAnsi="Arial" w:cs="Arial"/>
                <w:b/>
                <w:bCs/>
                <w:sz w:val="20"/>
                <w:szCs w:val="20"/>
              </w:rPr>
            </w:pPr>
            <w:r w:rsidRPr="00C9266E">
              <w:rPr>
                <w:rFonts w:ascii="Arial" w:hAnsi="Arial" w:cs="Arial"/>
                <w:b/>
                <w:bCs/>
                <w:sz w:val="20"/>
                <w:szCs w:val="20"/>
              </w:rPr>
              <w:t xml:space="preserve">For each </w:t>
            </w:r>
            <w:r w:rsidR="00814DDC">
              <w:rPr>
                <w:rFonts w:ascii="Arial" w:hAnsi="Arial" w:cs="Arial"/>
                <w:b/>
                <w:bCs/>
                <w:sz w:val="20"/>
                <w:szCs w:val="20"/>
              </w:rPr>
              <w:t>restriction</w:t>
            </w:r>
            <w:r w:rsidRPr="00C9266E">
              <w:rPr>
                <w:rFonts w:ascii="Arial" w:hAnsi="Arial" w:cs="Arial"/>
                <w:b/>
                <w:bCs/>
                <w:sz w:val="20"/>
                <w:szCs w:val="20"/>
              </w:rPr>
              <w:t>, answer the following:</w:t>
            </w:r>
          </w:p>
        </w:tc>
        <w:tc>
          <w:tcPr>
            <w:tcW w:w="2222" w:type="pct"/>
          </w:tcPr>
          <w:p w14:paraId="2A0090B5" w14:textId="44857F5F" w:rsidR="00C01E14" w:rsidRPr="00AA74FD" w:rsidRDefault="00814DDC" w:rsidP="00AA74FD">
            <w:pPr>
              <w:pStyle w:val="ListParagraph"/>
              <w:numPr>
                <w:ilvl w:val="0"/>
                <w:numId w:val="3"/>
              </w:numPr>
              <w:rPr>
                <w:rFonts w:ascii="Arial" w:hAnsi="Arial" w:cs="Arial"/>
                <w:i/>
                <w:iCs/>
                <w:sz w:val="20"/>
                <w:szCs w:val="20"/>
              </w:rPr>
            </w:pPr>
            <w:r w:rsidRPr="00814DDC">
              <w:rPr>
                <w:rFonts w:ascii="Arial" w:hAnsi="Arial" w:cs="Arial"/>
                <w:i/>
                <w:iCs/>
                <w:sz w:val="20"/>
                <w:szCs w:val="20"/>
              </w:rPr>
              <w:t>Who does the applicable restriction on transferring, disposing or otherwise dealing with shares in the company in the constitution apply to?</w:t>
            </w:r>
          </w:p>
        </w:tc>
        <w:tc>
          <w:tcPr>
            <w:tcW w:w="1632" w:type="pct"/>
          </w:tcPr>
          <w:p w14:paraId="2E8CEE58" w14:textId="01E42F8B" w:rsidR="00C01E14" w:rsidRPr="005058B7" w:rsidRDefault="00C01E14">
            <w:pPr>
              <w:rPr>
                <w:rFonts w:ascii="Arial" w:hAnsi="Arial" w:cs="Arial"/>
                <w:sz w:val="20"/>
                <w:szCs w:val="20"/>
              </w:rPr>
            </w:pPr>
          </w:p>
        </w:tc>
      </w:tr>
      <w:tr w:rsidR="00646FDE" w:rsidRPr="005058B7" w14:paraId="63DA0EC7" w14:textId="77777777" w:rsidTr="00646FDE">
        <w:trPr>
          <w:trHeight w:val="151"/>
        </w:trPr>
        <w:tc>
          <w:tcPr>
            <w:tcW w:w="326" w:type="pct"/>
            <w:vMerge/>
          </w:tcPr>
          <w:p w14:paraId="2278C759"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tcPr>
          <w:p w14:paraId="0E847388" w14:textId="77777777" w:rsidR="00C01E14" w:rsidRPr="005058B7" w:rsidRDefault="00C01E14">
            <w:pPr>
              <w:rPr>
                <w:rFonts w:ascii="Arial" w:hAnsi="Arial" w:cs="Arial"/>
                <w:sz w:val="20"/>
                <w:szCs w:val="20"/>
              </w:rPr>
            </w:pPr>
          </w:p>
        </w:tc>
        <w:tc>
          <w:tcPr>
            <w:tcW w:w="2222" w:type="pct"/>
          </w:tcPr>
          <w:p w14:paraId="04FC856B" w14:textId="608172BE" w:rsidR="00C9266E" w:rsidRPr="00AA74FD" w:rsidRDefault="00814DDC" w:rsidP="00E74E8C">
            <w:pPr>
              <w:pStyle w:val="ListParagraph"/>
              <w:numPr>
                <w:ilvl w:val="0"/>
                <w:numId w:val="3"/>
              </w:numPr>
              <w:rPr>
                <w:rFonts w:ascii="Arial" w:hAnsi="Arial" w:cs="Arial"/>
                <w:i/>
                <w:iCs/>
                <w:sz w:val="20"/>
                <w:szCs w:val="20"/>
              </w:rPr>
            </w:pPr>
            <w:r w:rsidRPr="00814DDC">
              <w:rPr>
                <w:rFonts w:ascii="Arial" w:hAnsi="Arial" w:cs="Arial"/>
                <w:i/>
                <w:iCs/>
                <w:sz w:val="20"/>
                <w:szCs w:val="20"/>
              </w:rPr>
              <w:t xml:space="preserve">According to the company's constitution or bylaws, which of the following best describes the restrictions or limitations, if any, that are placed on shareholders with regards to transferring, selling, disposing of, or otherwise dealing with their shares </w:t>
            </w:r>
            <w:r w:rsidRPr="00814DDC">
              <w:rPr>
                <w:rFonts w:ascii="Arial" w:hAnsi="Arial" w:cs="Arial"/>
                <w:i/>
                <w:iCs/>
                <w:sz w:val="20"/>
                <w:szCs w:val="20"/>
              </w:rPr>
              <w:lastRenderedPageBreak/>
              <w:t>in the company? Please select the most applicable option from the list below</w:t>
            </w:r>
            <w:r>
              <w:rPr>
                <w:rFonts w:ascii="Arial" w:hAnsi="Arial" w:cs="Arial"/>
                <w:i/>
                <w:iCs/>
                <w:sz w:val="20"/>
                <w:szCs w:val="20"/>
              </w:rPr>
              <w:t>.</w:t>
            </w:r>
            <w:r w:rsidR="00AA74FD" w:rsidRPr="00AA74FD">
              <w:rPr>
                <w:rFonts w:ascii="Arial" w:hAnsi="Arial" w:cs="Arial"/>
                <w:i/>
                <w:iCs/>
                <w:sz w:val="20"/>
                <w:szCs w:val="20"/>
              </w:rPr>
              <w:t xml:space="preserve"> E.g.</w:t>
            </w:r>
            <w:r w:rsidR="00C9266E" w:rsidRPr="00AA74FD">
              <w:rPr>
                <w:rFonts w:ascii="Arial" w:hAnsi="Arial" w:cs="Arial"/>
                <w:i/>
                <w:iCs/>
                <w:sz w:val="20"/>
                <w:szCs w:val="20"/>
              </w:rPr>
              <w:t>:</w:t>
            </w:r>
          </w:p>
          <w:p w14:paraId="39AE1E49" w14:textId="443947A3" w:rsidR="00814DDC" w:rsidRPr="00814DDC" w:rsidRDefault="00814DDC" w:rsidP="00814DDC">
            <w:pPr>
              <w:pStyle w:val="ListParagraph"/>
              <w:numPr>
                <w:ilvl w:val="0"/>
                <w:numId w:val="2"/>
              </w:numPr>
              <w:ind w:firstLine="53"/>
              <w:rPr>
                <w:rFonts w:ascii="Arial" w:hAnsi="Arial" w:cs="Arial"/>
                <w:i/>
                <w:iCs/>
                <w:sz w:val="20"/>
                <w:szCs w:val="20"/>
              </w:rPr>
            </w:pPr>
            <w:r w:rsidRPr="00814DDC">
              <w:rPr>
                <w:rFonts w:ascii="Arial" w:hAnsi="Arial" w:cs="Arial"/>
                <w:i/>
                <w:iCs/>
                <w:sz w:val="20"/>
                <w:szCs w:val="20"/>
              </w:rPr>
              <w:t xml:space="preserve">No restrictions - shares are freely transferable </w:t>
            </w:r>
          </w:p>
          <w:p w14:paraId="67CCB4EE" w14:textId="647E034B" w:rsidR="00814DDC" w:rsidRPr="00814DDC" w:rsidRDefault="00814DDC" w:rsidP="00814DDC">
            <w:pPr>
              <w:pStyle w:val="ListParagraph"/>
              <w:numPr>
                <w:ilvl w:val="0"/>
                <w:numId w:val="2"/>
              </w:numPr>
              <w:ind w:firstLine="53"/>
              <w:rPr>
                <w:rFonts w:ascii="Arial" w:hAnsi="Arial" w:cs="Arial"/>
                <w:i/>
                <w:iCs/>
                <w:sz w:val="20"/>
                <w:szCs w:val="20"/>
              </w:rPr>
            </w:pPr>
            <w:r w:rsidRPr="00814DDC">
              <w:rPr>
                <w:rFonts w:ascii="Arial" w:hAnsi="Arial" w:cs="Arial"/>
                <w:i/>
                <w:iCs/>
                <w:sz w:val="20"/>
                <w:szCs w:val="20"/>
              </w:rPr>
              <w:t xml:space="preserve">Board approval required for any share transfer or disposal </w:t>
            </w:r>
          </w:p>
          <w:p w14:paraId="3345EEAC" w14:textId="51512E3C" w:rsidR="00814DDC" w:rsidRPr="00814DDC" w:rsidRDefault="00814DDC" w:rsidP="00814DDC">
            <w:pPr>
              <w:pStyle w:val="ListParagraph"/>
              <w:numPr>
                <w:ilvl w:val="0"/>
                <w:numId w:val="2"/>
              </w:numPr>
              <w:ind w:firstLine="53"/>
              <w:rPr>
                <w:rFonts w:ascii="Arial" w:hAnsi="Arial" w:cs="Arial"/>
                <w:i/>
                <w:iCs/>
                <w:sz w:val="20"/>
                <w:szCs w:val="20"/>
              </w:rPr>
            </w:pPr>
            <w:r w:rsidRPr="00814DDC">
              <w:rPr>
                <w:rFonts w:ascii="Arial" w:hAnsi="Arial" w:cs="Arial"/>
                <w:i/>
                <w:iCs/>
                <w:sz w:val="20"/>
                <w:szCs w:val="20"/>
              </w:rPr>
              <w:t xml:space="preserve">Right of first refusal - shares must first be offered to existing shareholders </w:t>
            </w:r>
          </w:p>
          <w:p w14:paraId="1CE1F8A7" w14:textId="32679368" w:rsidR="00814DDC" w:rsidRPr="00814DDC" w:rsidRDefault="00814DDC" w:rsidP="00814DDC">
            <w:pPr>
              <w:pStyle w:val="ListParagraph"/>
              <w:numPr>
                <w:ilvl w:val="0"/>
                <w:numId w:val="2"/>
              </w:numPr>
              <w:ind w:firstLine="53"/>
              <w:rPr>
                <w:rFonts w:ascii="Arial" w:hAnsi="Arial" w:cs="Arial"/>
                <w:i/>
                <w:iCs/>
                <w:sz w:val="20"/>
                <w:szCs w:val="20"/>
              </w:rPr>
            </w:pPr>
            <w:r w:rsidRPr="00814DDC">
              <w:rPr>
                <w:rFonts w:ascii="Arial" w:hAnsi="Arial" w:cs="Arial"/>
                <w:i/>
                <w:iCs/>
                <w:sz w:val="20"/>
                <w:szCs w:val="20"/>
              </w:rPr>
              <w:t xml:space="preserve">Lock-up period - shares cannot be sold for a specified time period </w:t>
            </w:r>
          </w:p>
          <w:p w14:paraId="0A50E5DA" w14:textId="01C9E8B5" w:rsidR="00C9266E" w:rsidRPr="00551920" w:rsidRDefault="00814DDC" w:rsidP="00814DDC">
            <w:pPr>
              <w:pStyle w:val="ListParagraph"/>
              <w:numPr>
                <w:ilvl w:val="0"/>
                <w:numId w:val="2"/>
              </w:numPr>
              <w:ind w:firstLine="53"/>
              <w:rPr>
                <w:rFonts w:ascii="Arial" w:hAnsi="Arial" w:cs="Arial"/>
                <w:i/>
                <w:iCs/>
                <w:sz w:val="20"/>
                <w:szCs w:val="20"/>
              </w:rPr>
            </w:pPr>
            <w:r w:rsidRPr="00814DDC">
              <w:rPr>
                <w:rFonts w:ascii="Arial" w:hAnsi="Arial" w:cs="Arial"/>
                <w:i/>
                <w:iCs/>
                <w:sz w:val="20"/>
                <w:szCs w:val="20"/>
              </w:rPr>
              <w:t>Other restrictions not captured above (please insert custom value and specify and cite constitution or bylaws)</w:t>
            </w:r>
            <w:r w:rsidR="00AA74FD">
              <w:rPr>
                <w:rFonts w:ascii="Arial" w:hAnsi="Arial" w:cs="Arial"/>
                <w:i/>
                <w:iCs/>
                <w:sz w:val="20"/>
                <w:szCs w:val="20"/>
              </w:rPr>
              <w:t xml:space="preserve"> </w:t>
            </w:r>
          </w:p>
        </w:tc>
        <w:tc>
          <w:tcPr>
            <w:tcW w:w="1632" w:type="pct"/>
          </w:tcPr>
          <w:p w14:paraId="5C8E8D92" w14:textId="77777777" w:rsidR="00C01E14" w:rsidRPr="005058B7" w:rsidRDefault="00C01E14">
            <w:pPr>
              <w:rPr>
                <w:rFonts w:ascii="Arial" w:hAnsi="Arial" w:cs="Arial"/>
                <w:sz w:val="20"/>
                <w:szCs w:val="20"/>
              </w:rPr>
            </w:pPr>
          </w:p>
        </w:tc>
      </w:tr>
      <w:tr w:rsidR="00814DDC" w:rsidRPr="005058B7" w14:paraId="0FCDCBB1" w14:textId="77777777" w:rsidTr="00646FDE">
        <w:trPr>
          <w:trHeight w:val="151"/>
        </w:trPr>
        <w:tc>
          <w:tcPr>
            <w:tcW w:w="326" w:type="pct"/>
            <w:vMerge/>
          </w:tcPr>
          <w:p w14:paraId="62F9CCDA" w14:textId="77777777" w:rsidR="00814DDC" w:rsidRPr="005058B7" w:rsidRDefault="00814DDC" w:rsidP="00646FDE">
            <w:pPr>
              <w:pStyle w:val="ListParagraph"/>
              <w:numPr>
                <w:ilvl w:val="0"/>
                <w:numId w:val="1"/>
              </w:numPr>
              <w:jc w:val="both"/>
              <w:rPr>
                <w:rFonts w:ascii="Arial" w:hAnsi="Arial" w:cs="Arial"/>
                <w:sz w:val="20"/>
                <w:szCs w:val="20"/>
              </w:rPr>
            </w:pPr>
          </w:p>
        </w:tc>
        <w:tc>
          <w:tcPr>
            <w:tcW w:w="820" w:type="pct"/>
            <w:vMerge/>
          </w:tcPr>
          <w:p w14:paraId="2434B9C3" w14:textId="77777777" w:rsidR="00814DDC" w:rsidRPr="005058B7" w:rsidRDefault="00814DDC">
            <w:pPr>
              <w:rPr>
                <w:rFonts w:ascii="Arial" w:hAnsi="Arial" w:cs="Arial"/>
                <w:sz w:val="20"/>
                <w:szCs w:val="20"/>
              </w:rPr>
            </w:pPr>
          </w:p>
        </w:tc>
        <w:tc>
          <w:tcPr>
            <w:tcW w:w="2222" w:type="pct"/>
          </w:tcPr>
          <w:p w14:paraId="15C73D44" w14:textId="6F44AAAF" w:rsidR="00814DDC" w:rsidRPr="00814DDC" w:rsidRDefault="00814DDC" w:rsidP="00814DDC">
            <w:pPr>
              <w:pStyle w:val="ListParagraph"/>
              <w:numPr>
                <w:ilvl w:val="0"/>
                <w:numId w:val="3"/>
              </w:numPr>
              <w:rPr>
                <w:rFonts w:ascii="Arial" w:hAnsi="Arial" w:cs="Arial"/>
                <w:i/>
                <w:iCs/>
                <w:sz w:val="20"/>
                <w:szCs w:val="20"/>
              </w:rPr>
            </w:pPr>
            <w:r w:rsidRPr="00814DDC">
              <w:rPr>
                <w:rFonts w:ascii="Arial" w:hAnsi="Arial" w:cs="Arial"/>
                <w:i/>
                <w:iCs/>
                <w:sz w:val="20"/>
                <w:szCs w:val="20"/>
              </w:rPr>
              <w:t>According to the company's constitution or bylaws, provide a detailed description of the specific restrictions, limitations, or procedures that shareholders must follow in order to transfer, sell, dispose of, or otherwise deal with their shares in the company. In your response, please: Quote the relevant section(s) of the bylaws document verbatim</w:t>
            </w:r>
          </w:p>
        </w:tc>
        <w:tc>
          <w:tcPr>
            <w:tcW w:w="1632" w:type="pct"/>
          </w:tcPr>
          <w:p w14:paraId="178621DD" w14:textId="77777777" w:rsidR="00814DDC" w:rsidRPr="005058B7" w:rsidRDefault="00814DDC">
            <w:pPr>
              <w:rPr>
                <w:rFonts w:ascii="Arial" w:hAnsi="Arial" w:cs="Arial"/>
                <w:sz w:val="20"/>
                <w:szCs w:val="20"/>
              </w:rPr>
            </w:pPr>
          </w:p>
        </w:tc>
      </w:tr>
      <w:tr w:rsidR="00646FDE" w:rsidRPr="005058B7" w14:paraId="4891CBB8" w14:textId="77777777" w:rsidTr="00646FDE">
        <w:trPr>
          <w:trHeight w:val="151"/>
        </w:trPr>
        <w:tc>
          <w:tcPr>
            <w:tcW w:w="326" w:type="pct"/>
            <w:vMerge/>
          </w:tcPr>
          <w:p w14:paraId="3F75C1FC" w14:textId="77777777" w:rsidR="00C01E14" w:rsidRPr="005058B7" w:rsidRDefault="00C01E14" w:rsidP="00646FDE">
            <w:pPr>
              <w:pStyle w:val="ListParagraph"/>
              <w:numPr>
                <w:ilvl w:val="0"/>
                <w:numId w:val="1"/>
              </w:numPr>
              <w:jc w:val="both"/>
              <w:rPr>
                <w:rFonts w:ascii="Arial" w:hAnsi="Arial" w:cs="Arial"/>
                <w:sz w:val="20"/>
                <w:szCs w:val="20"/>
              </w:rPr>
            </w:pPr>
          </w:p>
        </w:tc>
        <w:tc>
          <w:tcPr>
            <w:tcW w:w="820" w:type="pct"/>
            <w:vMerge/>
          </w:tcPr>
          <w:p w14:paraId="239FA449" w14:textId="77777777" w:rsidR="00C01E14" w:rsidRPr="005058B7" w:rsidRDefault="00C01E14">
            <w:pPr>
              <w:rPr>
                <w:rFonts w:ascii="Arial" w:hAnsi="Arial" w:cs="Arial"/>
                <w:sz w:val="20"/>
                <w:szCs w:val="20"/>
              </w:rPr>
            </w:pPr>
          </w:p>
        </w:tc>
        <w:tc>
          <w:tcPr>
            <w:tcW w:w="2222" w:type="pct"/>
          </w:tcPr>
          <w:p w14:paraId="3E6E3FCA" w14:textId="7164631D" w:rsidR="00C01E14" w:rsidRPr="00AA74FD" w:rsidRDefault="00814DDC" w:rsidP="00814DDC">
            <w:pPr>
              <w:pStyle w:val="ListParagraph"/>
              <w:numPr>
                <w:ilvl w:val="0"/>
                <w:numId w:val="3"/>
              </w:numPr>
              <w:rPr>
                <w:rFonts w:ascii="Arial" w:hAnsi="Arial" w:cs="Arial"/>
                <w:i/>
                <w:iCs/>
                <w:sz w:val="20"/>
                <w:szCs w:val="20"/>
              </w:rPr>
            </w:pPr>
            <w:r w:rsidRPr="00814DDC">
              <w:rPr>
                <w:rFonts w:ascii="Arial" w:hAnsi="Arial" w:cs="Arial"/>
                <w:i/>
                <w:iCs/>
                <w:sz w:val="20"/>
                <w:szCs w:val="20"/>
              </w:rPr>
              <w:t>Will the restriction on a shareholder's ability to transfer, dispose or otherwise deal with their shares in the constitution be triggered by the proposed transaction?</w:t>
            </w:r>
          </w:p>
        </w:tc>
        <w:tc>
          <w:tcPr>
            <w:tcW w:w="1632" w:type="pct"/>
          </w:tcPr>
          <w:p w14:paraId="2691F5DC" w14:textId="77777777" w:rsidR="00C01E14" w:rsidRPr="005058B7" w:rsidRDefault="00C01E14">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1666E960" w14:textId="3C73B6DB" w:rsidR="00C01E14" w:rsidRPr="00C9266E" w:rsidRDefault="00814DDC">
            <w:pPr>
              <w:rPr>
                <w:rFonts w:ascii="Arial" w:hAnsi="Arial" w:cs="Arial"/>
                <w:b/>
                <w:bCs/>
                <w:sz w:val="20"/>
                <w:szCs w:val="20"/>
              </w:rPr>
            </w:pPr>
            <w:r w:rsidRPr="00814DDC">
              <w:rPr>
                <w:rFonts w:ascii="Arial" w:hAnsi="Arial" w:cs="Arial"/>
                <w:b/>
                <w:bCs/>
                <w:sz w:val="20"/>
                <w:szCs w:val="20"/>
              </w:rPr>
              <w:t>Other governance documents</w:t>
            </w:r>
          </w:p>
        </w:tc>
        <w:tc>
          <w:tcPr>
            <w:tcW w:w="2222" w:type="pct"/>
          </w:tcPr>
          <w:p w14:paraId="4A3C4551" w14:textId="77777777" w:rsidR="00814DDC" w:rsidRPr="00814DDC" w:rsidRDefault="00814DDC" w:rsidP="00814DDC">
            <w:pPr>
              <w:rPr>
                <w:rFonts w:ascii="Arial" w:hAnsi="Arial" w:cs="Arial"/>
                <w:i/>
                <w:iCs/>
                <w:sz w:val="20"/>
                <w:szCs w:val="20"/>
              </w:rPr>
            </w:pPr>
            <w:r w:rsidRPr="00814DDC">
              <w:rPr>
                <w:rFonts w:ascii="Arial" w:hAnsi="Arial" w:cs="Arial"/>
                <w:i/>
                <w:iCs/>
                <w:sz w:val="20"/>
                <w:szCs w:val="20"/>
              </w:rPr>
              <w:t xml:space="preserve">The following governance document prevails to the extent of any inconsistency: </w:t>
            </w:r>
          </w:p>
          <w:p w14:paraId="0513B9EE" w14:textId="4656821E" w:rsidR="00C01E14" w:rsidRPr="00814DDC" w:rsidRDefault="00814DDC" w:rsidP="00C01E14">
            <w:pPr>
              <w:numPr>
                <w:ilvl w:val="0"/>
                <w:numId w:val="5"/>
              </w:numPr>
              <w:rPr>
                <w:rFonts w:ascii="Arial" w:hAnsi="Arial" w:cs="Arial"/>
                <w:i/>
                <w:iCs/>
                <w:sz w:val="20"/>
                <w:szCs w:val="20"/>
              </w:rPr>
            </w:pPr>
            <w:r w:rsidRPr="00814DDC">
              <w:rPr>
                <w:rFonts w:ascii="Arial" w:hAnsi="Arial" w:cs="Arial"/>
                <w:i/>
                <w:iCs/>
                <w:sz w:val="20"/>
                <w:szCs w:val="20"/>
              </w:rPr>
              <w:t>Describe the governance documents that prevails to the extent of any inconsistency between the documents</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646FDE">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w:t>
            </w:r>
            <w:proofErr w:type="spellStart"/>
            <w:r w:rsidRPr="00AA74FD">
              <w:rPr>
                <w:rFonts w:ascii="Arial" w:hAnsi="Arial" w:cs="Arial"/>
                <w:i/>
                <w:iCs/>
                <w:sz w:val="20"/>
                <w:szCs w:val="20"/>
              </w:rPr>
              <w:t>summarise</w:t>
            </w:r>
            <w:proofErr w:type="spellEnd"/>
            <w:r w:rsidRPr="00AA74FD">
              <w:rPr>
                <w:rFonts w:ascii="Arial" w:hAnsi="Arial" w:cs="Arial"/>
                <w:i/>
                <w:iCs/>
                <w:sz w:val="20"/>
                <w:szCs w:val="20"/>
              </w:rPr>
              <w:t xml:space="preserv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347A" w14:textId="77777777" w:rsidR="00E51DAE" w:rsidRDefault="00E51DAE" w:rsidP="00C9266E">
      <w:pPr>
        <w:spacing w:after="0" w:line="240" w:lineRule="auto"/>
      </w:pPr>
      <w:r>
        <w:separator/>
      </w:r>
    </w:p>
  </w:endnote>
  <w:endnote w:type="continuationSeparator" w:id="0">
    <w:p w14:paraId="78096F2B" w14:textId="77777777" w:rsidR="00E51DAE" w:rsidRDefault="00E51DAE"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1CEC" w14:textId="77777777" w:rsidR="00E51DAE" w:rsidRDefault="00E51DAE" w:rsidP="00C9266E">
      <w:pPr>
        <w:spacing w:after="0" w:line="240" w:lineRule="auto"/>
      </w:pPr>
      <w:r>
        <w:separator/>
      </w:r>
    </w:p>
  </w:footnote>
  <w:footnote w:type="continuationSeparator" w:id="0">
    <w:p w14:paraId="48058681" w14:textId="77777777" w:rsidR="00E51DAE" w:rsidRDefault="00E51DAE"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5E00"/>
    <w:multiLevelType w:val="multilevel"/>
    <w:tmpl w:val="FD2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727B2"/>
    <w:multiLevelType w:val="hybridMultilevel"/>
    <w:tmpl w:val="3C4A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015116">
    <w:abstractNumId w:val="3"/>
  </w:num>
  <w:num w:numId="2" w16cid:durableId="819462268">
    <w:abstractNumId w:val="2"/>
  </w:num>
  <w:num w:numId="3" w16cid:durableId="1410274012">
    <w:abstractNumId w:val="1"/>
  </w:num>
  <w:num w:numId="4" w16cid:durableId="1262104165">
    <w:abstractNumId w:val="4"/>
  </w:num>
  <w:num w:numId="5" w16cid:durableId="15834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1E3621"/>
    <w:rsid w:val="004364F1"/>
    <w:rsid w:val="004C54CE"/>
    <w:rsid w:val="005058B7"/>
    <w:rsid w:val="00551920"/>
    <w:rsid w:val="005E5CA5"/>
    <w:rsid w:val="00646FDE"/>
    <w:rsid w:val="0079153D"/>
    <w:rsid w:val="00814DDC"/>
    <w:rsid w:val="009E672F"/>
    <w:rsid w:val="00AA74FD"/>
    <w:rsid w:val="00C01E14"/>
    <w:rsid w:val="00C620A8"/>
    <w:rsid w:val="00C9266E"/>
    <w:rsid w:val="00E51DAE"/>
    <w:rsid w:val="00E7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340856255">
      <w:bodyDiv w:val="1"/>
      <w:marLeft w:val="0"/>
      <w:marRight w:val="0"/>
      <w:marTop w:val="0"/>
      <w:marBottom w:val="0"/>
      <w:divBdr>
        <w:top w:val="none" w:sz="0" w:space="0" w:color="auto"/>
        <w:left w:val="none" w:sz="0" w:space="0" w:color="auto"/>
        <w:bottom w:val="none" w:sz="0" w:space="0" w:color="auto"/>
        <w:right w:val="none" w:sz="0" w:space="0" w:color="auto"/>
      </w:divBdr>
    </w:div>
    <w:div w:id="524904788">
      <w:bodyDiv w:val="1"/>
      <w:marLeft w:val="0"/>
      <w:marRight w:val="0"/>
      <w:marTop w:val="0"/>
      <w:marBottom w:val="0"/>
      <w:divBdr>
        <w:top w:val="none" w:sz="0" w:space="0" w:color="auto"/>
        <w:left w:val="none" w:sz="0" w:space="0" w:color="auto"/>
        <w:bottom w:val="none" w:sz="0" w:space="0" w:color="auto"/>
        <w:right w:val="none" w:sz="0" w:space="0" w:color="auto"/>
      </w:divBdr>
    </w:div>
    <w:div w:id="587232715">
      <w:bodyDiv w:val="1"/>
      <w:marLeft w:val="0"/>
      <w:marRight w:val="0"/>
      <w:marTop w:val="0"/>
      <w:marBottom w:val="0"/>
      <w:divBdr>
        <w:top w:val="none" w:sz="0" w:space="0" w:color="auto"/>
        <w:left w:val="none" w:sz="0" w:space="0" w:color="auto"/>
        <w:bottom w:val="none" w:sz="0" w:space="0" w:color="auto"/>
        <w:right w:val="none" w:sz="0" w:space="0" w:color="auto"/>
      </w:divBdr>
      <w:divsChild>
        <w:div w:id="2068989033">
          <w:marLeft w:val="0"/>
          <w:marRight w:val="0"/>
          <w:marTop w:val="0"/>
          <w:marBottom w:val="0"/>
          <w:divBdr>
            <w:top w:val="single" w:sz="2" w:space="0" w:color="auto"/>
            <w:left w:val="single" w:sz="2" w:space="0" w:color="auto"/>
            <w:bottom w:val="single" w:sz="2" w:space="0" w:color="auto"/>
            <w:right w:val="single" w:sz="2" w:space="0" w:color="auto"/>
          </w:divBdr>
        </w:div>
      </w:divsChild>
    </w:div>
    <w:div w:id="704256261">
      <w:bodyDiv w:val="1"/>
      <w:marLeft w:val="0"/>
      <w:marRight w:val="0"/>
      <w:marTop w:val="0"/>
      <w:marBottom w:val="0"/>
      <w:divBdr>
        <w:top w:val="none" w:sz="0" w:space="0" w:color="auto"/>
        <w:left w:val="none" w:sz="0" w:space="0" w:color="auto"/>
        <w:bottom w:val="none" w:sz="0" w:space="0" w:color="auto"/>
        <w:right w:val="none" w:sz="0" w:space="0" w:color="auto"/>
      </w:divBdr>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245797572">
      <w:bodyDiv w:val="1"/>
      <w:marLeft w:val="0"/>
      <w:marRight w:val="0"/>
      <w:marTop w:val="0"/>
      <w:marBottom w:val="0"/>
      <w:divBdr>
        <w:top w:val="none" w:sz="0" w:space="0" w:color="auto"/>
        <w:left w:val="none" w:sz="0" w:space="0" w:color="auto"/>
        <w:bottom w:val="none" w:sz="0" w:space="0" w:color="auto"/>
        <w:right w:val="none" w:sz="0" w:space="0" w:color="auto"/>
      </w:divBdr>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760714877">
      <w:bodyDiv w:val="1"/>
      <w:marLeft w:val="0"/>
      <w:marRight w:val="0"/>
      <w:marTop w:val="0"/>
      <w:marBottom w:val="0"/>
      <w:divBdr>
        <w:top w:val="none" w:sz="0" w:space="0" w:color="auto"/>
        <w:left w:val="none" w:sz="0" w:space="0" w:color="auto"/>
        <w:bottom w:val="none" w:sz="0" w:space="0" w:color="auto"/>
        <w:right w:val="none" w:sz="0" w:space="0" w:color="auto"/>
      </w:divBdr>
      <w:divsChild>
        <w:div w:id="1524786187">
          <w:marLeft w:val="0"/>
          <w:marRight w:val="0"/>
          <w:marTop w:val="0"/>
          <w:marBottom w:val="0"/>
          <w:divBdr>
            <w:top w:val="single" w:sz="2" w:space="0" w:color="auto"/>
            <w:left w:val="single" w:sz="2" w:space="0" w:color="auto"/>
            <w:bottom w:val="single" w:sz="2" w:space="0" w:color="auto"/>
            <w:right w:val="single" w:sz="2" w:space="0" w:color="auto"/>
          </w:divBdr>
        </w:div>
      </w:divsChild>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98666180">
      <w:bodyDiv w:val="1"/>
      <w:marLeft w:val="0"/>
      <w:marRight w:val="0"/>
      <w:marTop w:val="0"/>
      <w:marBottom w:val="0"/>
      <w:divBdr>
        <w:top w:val="none" w:sz="0" w:space="0" w:color="auto"/>
        <w:left w:val="none" w:sz="0" w:space="0" w:color="auto"/>
        <w:bottom w:val="none" w:sz="0" w:space="0" w:color="auto"/>
        <w:right w:val="none" w:sz="0" w:space="0" w:color="auto"/>
      </w:divBdr>
    </w:div>
    <w:div w:id="2075199126">
      <w:bodyDiv w:val="1"/>
      <w:marLeft w:val="0"/>
      <w:marRight w:val="0"/>
      <w:marTop w:val="0"/>
      <w:marBottom w:val="0"/>
      <w:divBdr>
        <w:top w:val="none" w:sz="0" w:space="0" w:color="auto"/>
        <w:left w:val="none" w:sz="0" w:space="0" w:color="auto"/>
        <w:bottom w:val="none" w:sz="0" w:space="0" w:color="auto"/>
        <w:right w:val="none" w:sz="0" w:space="0" w:color="auto"/>
      </w:divBdr>
    </w:div>
    <w:div w:id="20998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3</cp:revision>
  <dcterms:created xsi:type="dcterms:W3CDTF">2024-10-20T17:29:00Z</dcterms:created>
  <dcterms:modified xsi:type="dcterms:W3CDTF">2024-10-20T20:18:00Z</dcterms:modified>
</cp:coreProperties>
</file>