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9180" w14:textId="360756BE" w:rsidR="009E672F" w:rsidRDefault="001507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Assignment</w:t>
      </w:r>
    </w:p>
    <w:p w14:paraId="25DABDEC" w14:textId="653914A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3AAD3D61" w:rsidR="00646FDE" w:rsidRPr="00551920" w:rsidRDefault="00150740">
      <w:pPr>
        <w:rPr>
          <w:rFonts w:ascii="Arial" w:hAnsi="Arial" w:cs="Arial"/>
          <w:sz w:val="22"/>
          <w:szCs w:val="22"/>
        </w:rPr>
      </w:pPr>
      <w:r w:rsidRPr="00150740">
        <w:rPr>
          <w:rFonts w:ascii="Arial" w:hAnsi="Arial" w:cs="Arial"/>
          <w:sz w:val="22"/>
          <w:szCs w:val="22"/>
        </w:rPr>
        <w:t>An assignment deed template is typically used when one party (the assignor) wishes to transfer or assign certain rights, interests, or obligations they have under a particular contract, agreement, or property to another party (the assignee).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6B62B2" w14:textId="77777777" w:rsidTr="00646FDE">
        <w:tc>
          <w:tcPr>
            <w:tcW w:w="326" w:type="pct"/>
          </w:tcPr>
          <w:p w14:paraId="1F3F2BE0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582E832" w14:textId="07A68F45" w:rsidR="009E672F" w:rsidRPr="00C9266E" w:rsidRDefault="009E672F" w:rsidP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Parties</w:t>
            </w:r>
          </w:p>
        </w:tc>
        <w:tc>
          <w:tcPr>
            <w:tcW w:w="2222" w:type="pct"/>
          </w:tcPr>
          <w:p w14:paraId="72FD1949" w14:textId="5CAFBE40" w:rsidR="009E672F" w:rsidRPr="00551920" w:rsidRDefault="009E672F" w:rsidP="009E672F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each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party (an “entity”)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, identify:</w:t>
            </w:r>
          </w:p>
          <w:p w14:paraId="7D496650" w14:textId="4C5C4206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legal name </w:t>
            </w:r>
          </w:p>
          <w:p w14:paraId="56BEB268" w14:textId="11607897" w:rsidR="009E672F" w:rsidRPr="00551920" w:rsidRDefault="00AA74FD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entity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</w:t>
            </w:r>
            <w:proofErr w:type="spellStart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person)</w:t>
            </w:r>
          </w:p>
          <w:p w14:paraId="72BF6B6B" w14:textId="77777777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registered address </w:t>
            </w:r>
          </w:p>
          <w:p w14:paraId="5EF29401" w14:textId="2D64188B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company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number (if applicable)</w:t>
            </w:r>
          </w:p>
          <w:p w14:paraId="13E8FA7B" w14:textId="1DF4EAA8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whether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alone or as a trustee</w:t>
            </w:r>
          </w:p>
          <w:p w14:paraId="22B770A0" w14:textId="22CA34E6" w:rsidR="009E672F" w:rsidRPr="00551920" w:rsidRDefault="009E672F" w:rsidP="00646FDE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as a trustee, identify the trust name and number (if applicable)</w:t>
            </w:r>
          </w:p>
        </w:tc>
        <w:tc>
          <w:tcPr>
            <w:tcW w:w="1632" w:type="pct"/>
          </w:tcPr>
          <w:p w14:paraId="1A12AC5E" w14:textId="24C4888E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B1F17E" w14:textId="77777777" w:rsidTr="00646FDE">
        <w:tc>
          <w:tcPr>
            <w:tcW w:w="326" w:type="pct"/>
          </w:tcPr>
          <w:p w14:paraId="07B62A9F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28DD513" w14:textId="6DB1F072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Document date</w:t>
            </w:r>
          </w:p>
        </w:tc>
        <w:tc>
          <w:tcPr>
            <w:tcW w:w="2222" w:type="pct"/>
          </w:tcPr>
          <w:p w14:paraId="2CAD02A6" w14:textId="6861BDE8" w:rsidR="009E672F" w:rsidRPr="00551920" w:rsidRDefault="00AA74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dentify the agreement date or date the agreement was entered into. If no date is provided in the agreement,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insert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'Undated'.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ook for dates in various locations within the document, including the header, footer, and signature blocks.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Enter dates in a consistent format (e.g. DD/MM/YYYY or MM/DD/YYYY)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46342666" w14:textId="72687713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675ED67E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7C575" w14:textId="0471DC72" w:rsidR="005058B7" w:rsidRPr="00646FDE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Substantive provisions</w:t>
            </w:r>
          </w:p>
        </w:tc>
      </w:tr>
      <w:tr w:rsidR="00C9266E" w:rsidRPr="005058B7" w14:paraId="2EACD79C" w14:textId="77777777" w:rsidTr="00646FDE">
        <w:tc>
          <w:tcPr>
            <w:tcW w:w="326" w:type="pct"/>
          </w:tcPr>
          <w:p w14:paraId="1A8A51D5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477210CD" w14:textId="1D74C179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Underlying document</w:t>
            </w:r>
          </w:p>
        </w:tc>
        <w:tc>
          <w:tcPr>
            <w:tcW w:w="2222" w:type="pct"/>
          </w:tcPr>
          <w:p w14:paraId="5AA5A44A" w14:textId="684AD356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Describe the underlying document that this amendment</w:t>
            </w:r>
            <w:r w:rsidR="00C01E14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deed or agreement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amending</w:t>
            </w:r>
          </w:p>
        </w:tc>
        <w:tc>
          <w:tcPr>
            <w:tcW w:w="1632" w:type="pct"/>
          </w:tcPr>
          <w:p w14:paraId="7DFB59B1" w14:textId="044B5FC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4CF" w:rsidRPr="005058B7" w14:paraId="0975E81D" w14:textId="77777777" w:rsidTr="00646FDE">
        <w:tc>
          <w:tcPr>
            <w:tcW w:w="326" w:type="pct"/>
          </w:tcPr>
          <w:p w14:paraId="0C7A21B5" w14:textId="77777777" w:rsidR="00A304CF" w:rsidRPr="005058B7" w:rsidRDefault="00A304C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446BDD44" w14:textId="1AE51CAB" w:rsidR="00A304CF" w:rsidRPr="00C9266E" w:rsidRDefault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Nature of deed</w:t>
            </w:r>
          </w:p>
        </w:tc>
        <w:tc>
          <w:tcPr>
            <w:tcW w:w="2222" w:type="pct"/>
          </w:tcPr>
          <w:p w14:paraId="279FE8C9" w14:textId="77777777" w:rsidR="00A304CF" w:rsidRDefault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Options might include:</w:t>
            </w:r>
          </w:p>
          <w:p w14:paraId="4AAA8D3A" w14:textId="77777777" w:rsidR="00A304CF" w:rsidRDefault="00A304CF" w:rsidP="00A304CF">
            <w:pPr>
              <w:pStyle w:val="ListParagraph"/>
              <w:numPr>
                <w:ilvl w:val="0"/>
                <w:numId w:val="2"/>
              </w:numPr>
              <w:ind w:firstLine="5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>assignment of rights only</w:t>
            </w:r>
          </w:p>
          <w:p w14:paraId="424E2B8A" w14:textId="77777777" w:rsidR="00A304CF" w:rsidRDefault="00A304CF" w:rsidP="00A304CF">
            <w:pPr>
              <w:pStyle w:val="ListParagraph"/>
              <w:numPr>
                <w:ilvl w:val="0"/>
                <w:numId w:val="2"/>
              </w:numPr>
              <w:ind w:firstLine="5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>assignment of rights and assumption of obligations</w:t>
            </w:r>
          </w:p>
          <w:p w14:paraId="79146299" w14:textId="4FF8EB45" w:rsidR="00A304CF" w:rsidRPr="00551920" w:rsidRDefault="00A304CF" w:rsidP="00A304CF">
            <w:pPr>
              <w:pStyle w:val="ListParagraph"/>
              <w:numPr>
                <w:ilvl w:val="0"/>
                <w:numId w:val="2"/>
              </w:numPr>
              <w:ind w:firstLine="5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novation</w:t>
            </w:r>
          </w:p>
        </w:tc>
        <w:tc>
          <w:tcPr>
            <w:tcW w:w="1632" w:type="pct"/>
          </w:tcPr>
          <w:p w14:paraId="1E17932D" w14:textId="77777777" w:rsidR="00A304CF" w:rsidRPr="005058B7" w:rsidRDefault="00A30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3B04FB1B" w14:textId="77777777" w:rsidTr="00646FDE">
        <w:tc>
          <w:tcPr>
            <w:tcW w:w="326" w:type="pct"/>
          </w:tcPr>
          <w:p w14:paraId="37D83C56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D8F7FB6" w14:textId="5056CD2D" w:rsidR="009E672F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Effective date</w:t>
            </w:r>
            <w:r w:rsidR="00A30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assignment</w:t>
            </w:r>
          </w:p>
        </w:tc>
        <w:tc>
          <w:tcPr>
            <w:tcW w:w="2222" w:type="pct"/>
          </w:tcPr>
          <w:p w14:paraId="63008927" w14:textId="77777777" w:rsidR="009E672F" w:rsidRPr="00551920" w:rsidRDefault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Identify the effective date of the agreement (or deed)</w:t>
            </w:r>
          </w:p>
          <w:p w14:paraId="53CD312B" w14:textId="31C18735" w:rsidR="00C9266E" w:rsidRPr="00551920" w:rsidRDefault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Enter dates in a consistent format (e.g. DD/MM/YYYY or MM/DD/YYYY)</w:t>
            </w:r>
          </w:p>
        </w:tc>
        <w:tc>
          <w:tcPr>
            <w:tcW w:w="1632" w:type="pct"/>
          </w:tcPr>
          <w:p w14:paraId="05236C78" w14:textId="1F9C8CAB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4CF" w:rsidRPr="005058B7" w14:paraId="7902258E" w14:textId="77777777" w:rsidTr="00646FDE">
        <w:trPr>
          <w:trHeight w:val="152"/>
        </w:trPr>
        <w:tc>
          <w:tcPr>
            <w:tcW w:w="326" w:type="pct"/>
          </w:tcPr>
          <w:p w14:paraId="1218736D" w14:textId="77777777" w:rsidR="00A304CF" w:rsidRPr="005058B7" w:rsidRDefault="00A304C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4F10C4D5" w14:textId="2D4012CE" w:rsidR="00A304CF" w:rsidRPr="00C9266E" w:rsidRDefault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Specify the rights being assigned</w:t>
            </w:r>
          </w:p>
        </w:tc>
        <w:tc>
          <w:tcPr>
            <w:tcW w:w="2222" w:type="pct"/>
          </w:tcPr>
          <w:p w14:paraId="515C0DF9" w14:textId="77777777" w:rsidR="00A304CF" w:rsidRPr="00A304CF" w:rsidRDefault="00A304CF" w:rsidP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5390E731" w14:textId="77777777" w:rsidR="00A304CF" w:rsidRPr="005058B7" w:rsidRDefault="00A30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4CF" w:rsidRPr="005058B7" w14:paraId="713D249B" w14:textId="77777777" w:rsidTr="00646FDE">
        <w:trPr>
          <w:trHeight w:val="152"/>
        </w:trPr>
        <w:tc>
          <w:tcPr>
            <w:tcW w:w="326" w:type="pct"/>
          </w:tcPr>
          <w:p w14:paraId="6FD0B9A9" w14:textId="77777777" w:rsidR="00A304CF" w:rsidRPr="005058B7" w:rsidRDefault="00A304C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56F8141" w14:textId="3C1FBB12" w:rsidR="00A304CF" w:rsidRPr="00A304CF" w:rsidRDefault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Specify the obligations being assumed</w:t>
            </w:r>
          </w:p>
        </w:tc>
        <w:tc>
          <w:tcPr>
            <w:tcW w:w="2222" w:type="pct"/>
          </w:tcPr>
          <w:p w14:paraId="11BE7402" w14:textId="77777777" w:rsidR="00A304CF" w:rsidRPr="00A304CF" w:rsidRDefault="00A304CF" w:rsidP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52751896" w14:textId="77777777" w:rsidR="00A304CF" w:rsidRPr="005058B7" w:rsidRDefault="00A30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4CF" w:rsidRPr="005058B7" w14:paraId="6C70D67D" w14:textId="77777777" w:rsidTr="00646FDE">
        <w:trPr>
          <w:trHeight w:val="152"/>
        </w:trPr>
        <w:tc>
          <w:tcPr>
            <w:tcW w:w="326" w:type="pct"/>
          </w:tcPr>
          <w:p w14:paraId="38828A9E" w14:textId="77777777" w:rsidR="00A304CF" w:rsidRPr="005058B7" w:rsidRDefault="00A304C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030C90BD" w14:textId="6E5EA864" w:rsidR="00A304CF" w:rsidRPr="00A304CF" w:rsidRDefault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Who is required to consent to the assignment?</w:t>
            </w:r>
          </w:p>
        </w:tc>
        <w:tc>
          <w:tcPr>
            <w:tcW w:w="2222" w:type="pct"/>
          </w:tcPr>
          <w:p w14:paraId="14196520" w14:textId="77777777" w:rsidR="00A304CF" w:rsidRPr="00A304CF" w:rsidRDefault="00A304CF" w:rsidP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2D493486" w14:textId="77777777" w:rsidR="00A304CF" w:rsidRPr="005058B7" w:rsidRDefault="00A30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4CF" w:rsidRPr="005058B7" w14:paraId="06737AF8" w14:textId="77777777" w:rsidTr="00646FDE">
        <w:trPr>
          <w:trHeight w:val="152"/>
        </w:trPr>
        <w:tc>
          <w:tcPr>
            <w:tcW w:w="326" w:type="pct"/>
          </w:tcPr>
          <w:p w14:paraId="4EC855E7" w14:textId="77777777" w:rsidR="00A304CF" w:rsidRPr="005058B7" w:rsidRDefault="00A304C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6945442" w14:textId="7949947E" w:rsidR="00A304CF" w:rsidRPr="00A304CF" w:rsidRDefault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Has consent been obtained?</w:t>
            </w:r>
          </w:p>
        </w:tc>
        <w:tc>
          <w:tcPr>
            <w:tcW w:w="2222" w:type="pct"/>
          </w:tcPr>
          <w:p w14:paraId="337163E9" w14:textId="77777777" w:rsidR="00A304CF" w:rsidRPr="00A304CF" w:rsidRDefault="00A304CF" w:rsidP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2012A5E8" w14:textId="77777777" w:rsidR="00A304CF" w:rsidRPr="005058B7" w:rsidRDefault="00A30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4CF" w:rsidRPr="005058B7" w14:paraId="62061DFA" w14:textId="77777777" w:rsidTr="00646FDE">
        <w:trPr>
          <w:trHeight w:val="152"/>
        </w:trPr>
        <w:tc>
          <w:tcPr>
            <w:tcW w:w="326" w:type="pct"/>
          </w:tcPr>
          <w:p w14:paraId="630D1BCB" w14:textId="77777777" w:rsidR="00A304CF" w:rsidRPr="005058B7" w:rsidRDefault="00A304C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08F03662" w14:textId="2866748B" w:rsidR="00A304CF" w:rsidRPr="00A304CF" w:rsidRDefault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Consideration (payment or other value) for the assignment</w:t>
            </w:r>
          </w:p>
        </w:tc>
        <w:tc>
          <w:tcPr>
            <w:tcW w:w="2222" w:type="pct"/>
          </w:tcPr>
          <w:p w14:paraId="0262F5D8" w14:textId="77777777" w:rsidR="00A304CF" w:rsidRPr="00A304CF" w:rsidRDefault="00A304CF" w:rsidP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297E0157" w14:textId="77777777" w:rsidR="00A304CF" w:rsidRPr="005058B7" w:rsidRDefault="00A30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4CF" w:rsidRPr="005058B7" w14:paraId="45050C16" w14:textId="77777777" w:rsidTr="00646FDE">
        <w:trPr>
          <w:trHeight w:val="152"/>
        </w:trPr>
        <w:tc>
          <w:tcPr>
            <w:tcW w:w="326" w:type="pct"/>
          </w:tcPr>
          <w:p w14:paraId="43F8C4B5" w14:textId="77777777" w:rsidR="00A304CF" w:rsidRPr="005058B7" w:rsidRDefault="00A304C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99F207B" w14:textId="7FB09FE8" w:rsidR="00A304CF" w:rsidRPr="00C9266E" w:rsidRDefault="00A304CF" w:rsidP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Release</w:t>
            </w:r>
          </w:p>
        </w:tc>
        <w:tc>
          <w:tcPr>
            <w:tcW w:w="2222" w:type="pct"/>
          </w:tcPr>
          <w:p w14:paraId="177015AF" w14:textId="0E555233" w:rsidR="00A304CF" w:rsidRDefault="00A304CF" w:rsidP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 t</w:t>
            </w:r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 Assignor released from </w:t>
            </w:r>
            <w:proofErr w:type="gramStart"/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>its</w:t>
            </w:r>
            <w:proofErr w:type="gramEnd"/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obligations under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agreement?</w:t>
            </w:r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so, identify what t</w:t>
            </w:r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 release applies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to. E.g.:</w:t>
            </w:r>
          </w:p>
          <w:p w14:paraId="2F5411A2" w14:textId="77777777" w:rsidR="00A304CF" w:rsidRDefault="00A304CF" w:rsidP="00A304CF">
            <w:pPr>
              <w:pStyle w:val="ListParagraph"/>
              <w:numPr>
                <w:ilvl w:val="0"/>
                <w:numId w:val="2"/>
              </w:numPr>
              <w:ind w:firstLine="5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>all obligations arising under the agreement (before and after the effective date of the assignment)</w:t>
            </w:r>
          </w:p>
          <w:p w14:paraId="28ADE886" w14:textId="2C5A2E32" w:rsidR="00A304CF" w:rsidRPr="00A304CF" w:rsidRDefault="00A304CF" w:rsidP="00A304CF">
            <w:pPr>
              <w:pStyle w:val="ListParagraph"/>
              <w:numPr>
                <w:ilvl w:val="0"/>
                <w:numId w:val="2"/>
              </w:numPr>
              <w:ind w:firstLine="5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04CF">
              <w:rPr>
                <w:rFonts w:ascii="Arial" w:hAnsi="Arial" w:cs="Arial"/>
                <w:i/>
                <w:iCs/>
                <w:sz w:val="20"/>
                <w:szCs w:val="20"/>
              </w:rPr>
              <w:t>all obligations arising under the agreement after the effective date of the assignment.</w:t>
            </w:r>
          </w:p>
        </w:tc>
        <w:tc>
          <w:tcPr>
            <w:tcW w:w="1632" w:type="pct"/>
          </w:tcPr>
          <w:p w14:paraId="32BE2E5A" w14:textId="77777777" w:rsidR="00A304CF" w:rsidRPr="005058B7" w:rsidRDefault="00A30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DE" w:rsidRPr="005058B7" w14:paraId="6FA07F5B" w14:textId="77777777" w:rsidTr="00646FDE">
        <w:trPr>
          <w:trHeight w:val="152"/>
        </w:trPr>
        <w:tc>
          <w:tcPr>
            <w:tcW w:w="326" w:type="pct"/>
          </w:tcPr>
          <w:p w14:paraId="49220789" w14:textId="77777777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987EC9C" w14:textId="6E16C2B7" w:rsidR="00C01E14" w:rsidRPr="00C9266E" w:rsidRDefault="00A30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underlying document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also being </w:t>
            </w: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amend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 w:rsidRPr="00A304C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222" w:type="pct"/>
          </w:tcPr>
          <w:p w14:paraId="2A0090B5" w14:textId="7A38D838" w:rsidR="00C01E14" w:rsidRPr="00A304CF" w:rsidRDefault="00C01E14" w:rsidP="00A304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2E8CEE58" w14:textId="01E42F8B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2E81DE66" w14:textId="77777777" w:rsidTr="00551920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FD2BAF" w14:textId="510C1296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</w:tr>
      <w:tr w:rsidR="00646FDE" w:rsidRPr="005058B7" w14:paraId="3E903C9E" w14:textId="77777777" w:rsidTr="00646FDE">
        <w:trPr>
          <w:trHeight w:val="151"/>
        </w:trPr>
        <w:tc>
          <w:tcPr>
            <w:tcW w:w="326" w:type="pct"/>
          </w:tcPr>
          <w:p w14:paraId="67DFF92C" w14:textId="5596C6BB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666E960" w14:textId="72300DD6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Related documents</w:t>
            </w:r>
          </w:p>
        </w:tc>
        <w:tc>
          <w:tcPr>
            <w:tcW w:w="2222" w:type="pct"/>
          </w:tcPr>
          <w:p w14:paraId="0513B9EE" w14:textId="792EC6D1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documents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to this document </w:t>
            </w:r>
            <w:r w:rsidR="00AA74FD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 been disclosed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including amendments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32" w:type="pct"/>
          </w:tcPr>
          <w:p w14:paraId="60D09FD3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0FD528E8" w14:textId="77777777" w:rsidTr="00646FDE">
        <w:trPr>
          <w:trHeight w:val="151"/>
        </w:trPr>
        <w:tc>
          <w:tcPr>
            <w:tcW w:w="326" w:type="pct"/>
          </w:tcPr>
          <w:p w14:paraId="3CC3D5BA" w14:textId="1452D199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FEB26B3" w14:textId="0934A16A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Missing related documents</w:t>
            </w:r>
          </w:p>
        </w:tc>
        <w:tc>
          <w:tcPr>
            <w:tcW w:w="2222" w:type="pct"/>
          </w:tcPr>
          <w:p w14:paraId="3B386A9C" w14:textId="026EE739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this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document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haven’t been disclosed</w:t>
            </w:r>
          </w:p>
        </w:tc>
        <w:tc>
          <w:tcPr>
            <w:tcW w:w="1632" w:type="pct"/>
          </w:tcPr>
          <w:p w14:paraId="7E5EA46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4D0DEFAF" w14:textId="77777777" w:rsidTr="00646FDE">
        <w:trPr>
          <w:trHeight w:val="151"/>
        </w:trPr>
        <w:tc>
          <w:tcPr>
            <w:tcW w:w="326" w:type="pct"/>
          </w:tcPr>
          <w:p w14:paraId="46677EF7" w14:textId="483F9001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A8FD1DB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Missing and/or ineligible pages</w:t>
            </w:r>
          </w:p>
          <w:p w14:paraId="0B7EA466" w14:textId="77777777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1475884B" w14:textId="1D05FE09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Specify any missing and/or ineligible pages of the document</w:t>
            </w:r>
          </w:p>
        </w:tc>
        <w:tc>
          <w:tcPr>
            <w:tcW w:w="1632" w:type="pct"/>
          </w:tcPr>
          <w:p w14:paraId="7BFA514D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7DA387F7" w14:textId="77777777" w:rsidTr="00646FDE">
        <w:trPr>
          <w:trHeight w:val="151"/>
        </w:trPr>
        <w:tc>
          <w:tcPr>
            <w:tcW w:w="326" w:type="pct"/>
          </w:tcPr>
          <w:p w14:paraId="1A342817" w14:textId="498463C2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0004DEC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Document execution</w:t>
            </w:r>
          </w:p>
          <w:p w14:paraId="5DF2B373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42DB2C5A" w14:textId="3B3EE604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Identify a party(s) that haven’t executed the document fully and correctly</w:t>
            </w:r>
          </w:p>
        </w:tc>
        <w:tc>
          <w:tcPr>
            <w:tcW w:w="1632" w:type="pct"/>
          </w:tcPr>
          <w:p w14:paraId="6D414FE9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73CD6751" w14:textId="77777777" w:rsidTr="00646FDE">
        <w:trPr>
          <w:trHeight w:val="151"/>
        </w:trPr>
        <w:tc>
          <w:tcPr>
            <w:tcW w:w="326" w:type="pct"/>
          </w:tcPr>
          <w:p w14:paraId="26AAC534" w14:textId="76F3EACE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44BA0D8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Governing law</w:t>
            </w:r>
          </w:p>
          <w:p w14:paraId="005C2D1E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B877A" w14:textId="3C060C75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What is the governing law of the document?</w:t>
            </w:r>
          </w:p>
        </w:tc>
        <w:tc>
          <w:tcPr>
            <w:tcW w:w="1632" w:type="pct"/>
          </w:tcPr>
          <w:p w14:paraId="65C93A45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334B33D2" w14:textId="77777777" w:rsidTr="00646FDE">
        <w:trPr>
          <w:trHeight w:val="151"/>
        </w:trPr>
        <w:tc>
          <w:tcPr>
            <w:tcW w:w="326" w:type="pct"/>
          </w:tcPr>
          <w:p w14:paraId="227B726E" w14:textId="0683DF2B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BE7F4D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Other onerous or unusual provisions</w:t>
            </w:r>
          </w:p>
          <w:p w14:paraId="74E1A8A5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F7E53BA" w14:textId="2616107A" w:rsidR="00C01E14" w:rsidRPr="00551920" w:rsidRDefault="00AA74FD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C9266E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dentify any provisions in this document that could be considered unusually onerous, burdensome or unfavorable to one party, or that deviate significantly from standard practices.</w:t>
            </w:r>
          </w:p>
          <w:p w14:paraId="0F1BCA96" w14:textId="77777777" w:rsidR="00C9266E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6AF8F" w14:textId="76A99603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For each such provision:</w:t>
            </w:r>
          </w:p>
          <w:p w14:paraId="0D79E4C2" w14:textId="77777777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E47EDF" w14:textId="77777777" w:rsidR="00AA74FD" w:rsidRDefault="00C9266E" w:rsidP="008165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State what party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provision applies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to;</w:t>
            </w:r>
            <w:proofErr w:type="gramEnd"/>
          </w:p>
          <w:p w14:paraId="11CD6A35" w14:textId="7C85CE0E" w:rsidR="00AA74FD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Briefly </w:t>
            </w:r>
            <w:proofErr w:type="spell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summarise</w:t>
            </w:r>
            <w:proofErr w:type="spell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key aspects that make it onerous or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unusual;</w:t>
            </w:r>
            <w:proofErr w:type="gram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00FB51C" w14:textId="1090A9DE" w:rsidR="00C9266E" w:rsidRPr="00551920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Quote the relevant excerpt from the document.  </w:t>
            </w:r>
          </w:p>
        </w:tc>
        <w:tc>
          <w:tcPr>
            <w:tcW w:w="1632" w:type="pct"/>
          </w:tcPr>
          <w:p w14:paraId="45A3ADB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CC29" w14:textId="77777777" w:rsidR="000C35AA" w:rsidRDefault="000C35AA" w:rsidP="00C9266E">
      <w:pPr>
        <w:spacing w:after="0" w:line="240" w:lineRule="auto"/>
      </w:pPr>
      <w:r>
        <w:separator/>
      </w:r>
    </w:p>
  </w:endnote>
  <w:endnote w:type="continuationSeparator" w:id="0">
    <w:p w14:paraId="10159D9C" w14:textId="77777777" w:rsidR="000C35AA" w:rsidRDefault="000C35AA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F7F0" w14:textId="77777777" w:rsidR="000C35AA" w:rsidRDefault="000C35AA" w:rsidP="00C9266E">
      <w:pPr>
        <w:spacing w:after="0" w:line="240" w:lineRule="auto"/>
      </w:pPr>
      <w:r>
        <w:separator/>
      </w:r>
    </w:p>
  </w:footnote>
  <w:footnote w:type="continuationSeparator" w:id="0">
    <w:p w14:paraId="274853AD" w14:textId="77777777" w:rsidR="000C35AA" w:rsidRDefault="000C35AA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116">
    <w:abstractNumId w:val="2"/>
  </w:num>
  <w:num w:numId="2" w16cid:durableId="819462268">
    <w:abstractNumId w:val="1"/>
  </w:num>
  <w:num w:numId="3" w16cid:durableId="1410274012">
    <w:abstractNumId w:val="0"/>
  </w:num>
  <w:num w:numId="4" w16cid:durableId="1262104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96CF6"/>
    <w:rsid w:val="000C35AA"/>
    <w:rsid w:val="00150740"/>
    <w:rsid w:val="001E3621"/>
    <w:rsid w:val="004935A6"/>
    <w:rsid w:val="004A17B8"/>
    <w:rsid w:val="005058B7"/>
    <w:rsid w:val="00551920"/>
    <w:rsid w:val="005E5CA5"/>
    <w:rsid w:val="00646FDE"/>
    <w:rsid w:val="0069734E"/>
    <w:rsid w:val="009E672F"/>
    <w:rsid w:val="00A304CF"/>
    <w:rsid w:val="00AA74FD"/>
    <w:rsid w:val="00C01E14"/>
    <w:rsid w:val="00C05C17"/>
    <w:rsid w:val="00C620A8"/>
    <w:rsid w:val="00C9266E"/>
    <w:rsid w:val="00E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442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9589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5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4</cp:revision>
  <dcterms:created xsi:type="dcterms:W3CDTF">2024-10-20T17:29:00Z</dcterms:created>
  <dcterms:modified xsi:type="dcterms:W3CDTF">2024-10-22T14:48:00Z</dcterms:modified>
</cp:coreProperties>
</file>