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BF2D" w14:textId="06B43CF8" w:rsidR="00217059" w:rsidRPr="00217059" w:rsidRDefault="00AC2D81" w:rsidP="00217059">
      <w:pPr>
        <w:rPr>
          <w:rFonts w:ascii="Arial" w:hAnsi="Arial" w:cs="Arial"/>
          <w:b/>
          <w:bCs/>
          <w:sz w:val="28"/>
          <w:szCs w:val="28"/>
        </w:rPr>
      </w:pPr>
      <w:r w:rsidRPr="00AC2D81">
        <w:rPr>
          <w:rFonts w:ascii="Arial" w:hAnsi="Arial" w:cs="Arial"/>
          <w:b/>
          <w:bCs/>
          <w:sz w:val="28"/>
          <w:szCs w:val="28"/>
        </w:rPr>
        <w:t xml:space="preserve">Change of control requirements </w:t>
      </w:r>
    </w:p>
    <w:p w14:paraId="5A371C4E" w14:textId="5C9F8FD1" w:rsidR="00217059" w:rsidRPr="00217059" w:rsidRDefault="00AC2D81" w:rsidP="00217059">
      <w:pPr>
        <w:rPr>
          <w:rFonts w:ascii="Arial" w:hAnsi="Arial" w:cs="Arial"/>
          <w:sz w:val="22"/>
          <w:szCs w:val="22"/>
        </w:rPr>
      </w:pPr>
      <w:r w:rsidRPr="00AC2D81">
        <w:rPr>
          <w:rFonts w:ascii="Arial" w:hAnsi="Arial" w:cs="Arial"/>
          <w:b/>
          <w:bCs/>
          <w:sz w:val="22"/>
          <w:szCs w:val="22"/>
        </w:rPr>
        <w:t>Vendor Contract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14:paraId="70A73DFE" w14:textId="77777777" w:rsidR="00217059" w:rsidRDefault="00217059" w:rsidP="00217059">
      <w:pPr>
        <w:rPr>
          <w:rFonts w:ascii="Arial" w:hAnsi="Arial" w:cs="Arial"/>
          <w:b/>
          <w:bCs/>
          <w:sz w:val="22"/>
          <w:szCs w:val="22"/>
        </w:rPr>
      </w:pPr>
    </w:p>
    <w:p w14:paraId="0A209FCA" w14:textId="77777777" w:rsidR="00AC2D81" w:rsidRPr="00AC2D81" w:rsidRDefault="00AC2D81" w:rsidP="00AC2D81">
      <w:pPr>
        <w:rPr>
          <w:rFonts w:ascii="Arial" w:hAnsi="Arial" w:cs="Arial"/>
          <w:b/>
          <w:bCs/>
          <w:sz w:val="22"/>
          <w:szCs w:val="22"/>
        </w:rPr>
      </w:pPr>
      <w:r w:rsidRPr="00AC2D81">
        <w:rPr>
          <w:rFonts w:ascii="Arial" w:hAnsi="Arial" w:cs="Arial"/>
          <w:b/>
          <w:bCs/>
          <w:sz w:val="22"/>
          <w:szCs w:val="22"/>
        </w:rPr>
        <w:t>Introduction</w:t>
      </w:r>
    </w:p>
    <w:p w14:paraId="209EAE86" w14:textId="5D80903D" w:rsidR="00AC2D81" w:rsidRPr="00AC2D81" w:rsidRDefault="00AC2D81" w:rsidP="00AC2D81">
      <w:pPr>
        <w:rPr>
          <w:rFonts w:ascii="Arial" w:hAnsi="Arial" w:cs="Arial"/>
          <w:sz w:val="22"/>
          <w:szCs w:val="22"/>
        </w:rPr>
      </w:pPr>
      <w:r w:rsidRPr="00AC2D81">
        <w:rPr>
          <w:rFonts w:ascii="Arial" w:hAnsi="Arial" w:cs="Arial"/>
          <w:sz w:val="22"/>
          <w:szCs w:val="22"/>
        </w:rPr>
        <w:t>This section details the contracts under which a member of the Company Group buys goods and/or services from a supplier as set out below (</w:t>
      </w:r>
      <w:r w:rsidRPr="00AC2D81">
        <w:rPr>
          <w:rFonts w:ascii="Arial" w:hAnsi="Arial" w:cs="Arial"/>
          <w:b/>
          <w:bCs/>
          <w:sz w:val="22"/>
          <w:szCs w:val="22"/>
        </w:rPr>
        <w:t>Supplier Contracts</w:t>
      </w:r>
      <w:r w:rsidRPr="00AC2D81">
        <w:rPr>
          <w:rFonts w:ascii="Arial" w:hAnsi="Arial" w:cs="Arial"/>
          <w:sz w:val="22"/>
          <w:szCs w:val="22"/>
        </w:rPr>
        <w:t>), and that meet the following criteria:</w:t>
      </w:r>
    </w:p>
    <w:p w14:paraId="029A0F9E" w14:textId="7A0D8706" w:rsidR="00AC2D81" w:rsidRPr="00AC2D81" w:rsidRDefault="00AC2D81" w:rsidP="00AC2D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C2D81">
        <w:rPr>
          <w:rFonts w:ascii="Arial" w:hAnsi="Arial" w:cs="Arial"/>
          <w:sz w:val="22"/>
          <w:szCs w:val="22"/>
        </w:rPr>
        <w:t xml:space="preserve">satisfy the Materiality </w:t>
      </w:r>
      <w:proofErr w:type="gramStart"/>
      <w:r w:rsidRPr="00AC2D81">
        <w:rPr>
          <w:rFonts w:ascii="Arial" w:hAnsi="Arial" w:cs="Arial"/>
          <w:sz w:val="22"/>
          <w:szCs w:val="22"/>
        </w:rPr>
        <w:t>Threshold;</w:t>
      </w:r>
      <w:proofErr w:type="gramEnd"/>
    </w:p>
    <w:p w14:paraId="6B55D811" w14:textId="685D2D30" w:rsidR="00AC2D81" w:rsidRPr="00AC2D81" w:rsidRDefault="00AC2D81" w:rsidP="00AC2D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C2D81">
        <w:rPr>
          <w:rFonts w:ascii="Arial" w:hAnsi="Arial" w:cs="Arial"/>
          <w:sz w:val="22"/>
          <w:szCs w:val="22"/>
        </w:rPr>
        <w:t>contain a 'change of control' provision (</w:t>
      </w:r>
      <w:r w:rsidRPr="00AC2D81">
        <w:rPr>
          <w:rFonts w:ascii="Arial" w:hAnsi="Arial" w:cs="Arial"/>
          <w:b/>
          <w:bCs/>
          <w:sz w:val="22"/>
          <w:szCs w:val="22"/>
        </w:rPr>
        <w:t>Control Provision</w:t>
      </w:r>
      <w:r w:rsidRPr="00AC2D81">
        <w:rPr>
          <w:rFonts w:ascii="Arial" w:hAnsi="Arial" w:cs="Arial"/>
          <w:sz w:val="22"/>
          <w:szCs w:val="22"/>
        </w:rPr>
        <w:t xml:space="preserve">) that applies to a member of the Company </w:t>
      </w:r>
      <w:proofErr w:type="gramStart"/>
      <w:r w:rsidRPr="00AC2D81">
        <w:rPr>
          <w:rFonts w:ascii="Arial" w:hAnsi="Arial" w:cs="Arial"/>
          <w:sz w:val="22"/>
          <w:szCs w:val="22"/>
        </w:rPr>
        <w:t>Group;</w:t>
      </w:r>
      <w:proofErr w:type="gramEnd"/>
    </w:p>
    <w:p w14:paraId="574F02CE" w14:textId="549F6874" w:rsidR="00AC2D81" w:rsidRPr="00AC2D81" w:rsidRDefault="00AC2D81" w:rsidP="00AC2D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C2D81">
        <w:rPr>
          <w:rFonts w:ascii="Arial" w:hAnsi="Arial" w:cs="Arial"/>
          <w:sz w:val="22"/>
          <w:szCs w:val="22"/>
        </w:rPr>
        <w:t>the Control Provision will be triggered by the Proposed Transaction (</w:t>
      </w:r>
      <w:r w:rsidRPr="00AC2D81">
        <w:rPr>
          <w:rFonts w:ascii="Arial" w:hAnsi="Arial" w:cs="Arial"/>
          <w:b/>
          <w:bCs/>
          <w:sz w:val="22"/>
          <w:szCs w:val="22"/>
        </w:rPr>
        <w:t>Control Event</w:t>
      </w:r>
      <w:r w:rsidRPr="00AC2D81">
        <w:rPr>
          <w:rFonts w:ascii="Arial" w:hAnsi="Arial" w:cs="Arial"/>
          <w:sz w:val="22"/>
          <w:szCs w:val="22"/>
        </w:rPr>
        <w:t>); and</w:t>
      </w:r>
    </w:p>
    <w:p w14:paraId="0D2B88B5" w14:textId="2EC8D8DA" w:rsidR="00AC2D81" w:rsidRPr="00AC2D81" w:rsidRDefault="00AC2D81" w:rsidP="00AC2D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C2D81">
        <w:rPr>
          <w:rFonts w:ascii="Arial" w:hAnsi="Arial" w:cs="Arial"/>
          <w:sz w:val="22"/>
          <w:szCs w:val="22"/>
        </w:rPr>
        <w:t>the rights of the counterparty when a Control Event occurs.</w:t>
      </w:r>
    </w:p>
    <w:p w14:paraId="5A28427F" w14:textId="653A8511" w:rsidR="00AC2D81" w:rsidRPr="00AC2D81" w:rsidRDefault="00AC2D81" w:rsidP="00AC2D81">
      <w:pPr>
        <w:rPr>
          <w:rFonts w:ascii="Arial" w:hAnsi="Arial" w:cs="Arial"/>
          <w:sz w:val="22"/>
          <w:szCs w:val="22"/>
        </w:rPr>
      </w:pPr>
      <w:r w:rsidRPr="00AC2D81">
        <w:rPr>
          <w:rFonts w:ascii="Arial" w:hAnsi="Arial" w:cs="Arial"/>
          <w:sz w:val="22"/>
          <w:szCs w:val="22"/>
        </w:rPr>
        <w:t xml:space="preserve">Control Provisions are contractual clauses that define the consequences and obligations triggered by a change in ownership or control of a company. These provisions are particularly relevant in the context of an acquisition, where the acquiring entity assumes control over the target company. The purpose of </w:t>
      </w:r>
      <w:proofErr w:type="gramStart"/>
      <w:r w:rsidRPr="00AC2D81">
        <w:rPr>
          <w:rFonts w:ascii="Arial" w:hAnsi="Arial" w:cs="Arial"/>
          <w:sz w:val="22"/>
          <w:szCs w:val="22"/>
        </w:rPr>
        <w:t>change</w:t>
      </w:r>
      <w:proofErr w:type="gramEnd"/>
      <w:r w:rsidRPr="00AC2D81">
        <w:rPr>
          <w:rFonts w:ascii="Arial" w:hAnsi="Arial" w:cs="Arial"/>
          <w:sz w:val="22"/>
          <w:szCs w:val="22"/>
        </w:rPr>
        <w:t xml:space="preserve"> of control provisions is to protect the interests of the parties involved in the contract and to manage the potential risks associated with a change in ownership.</w:t>
      </w:r>
    </w:p>
    <w:p w14:paraId="558BEB8F" w14:textId="77777777" w:rsidR="00AC2D81" w:rsidRPr="00AC2D81" w:rsidRDefault="00AC2D81" w:rsidP="00AC2D81">
      <w:pPr>
        <w:rPr>
          <w:rFonts w:ascii="Arial" w:hAnsi="Arial" w:cs="Arial"/>
          <w:sz w:val="22"/>
          <w:szCs w:val="22"/>
        </w:rPr>
      </w:pPr>
      <w:r w:rsidRPr="00AC2D81">
        <w:rPr>
          <w:rFonts w:ascii="Arial" w:hAnsi="Arial" w:cs="Arial"/>
          <w:sz w:val="22"/>
          <w:szCs w:val="22"/>
        </w:rPr>
        <w:t>The acquiring entity can assess the impact of the acquisition on existing contractual relationships and take proactive measures to address any challenges that may arise.</w:t>
      </w:r>
    </w:p>
    <w:p w14:paraId="240DB735" w14:textId="12B6734B" w:rsidR="00BD70B5" w:rsidRPr="00BD70B5" w:rsidRDefault="00BD70B5" w:rsidP="00BD70B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15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1437"/>
        <w:gridCol w:w="1618"/>
        <w:gridCol w:w="1385"/>
        <w:gridCol w:w="1420"/>
        <w:gridCol w:w="1507"/>
        <w:gridCol w:w="1718"/>
        <w:gridCol w:w="1608"/>
        <w:gridCol w:w="2267"/>
      </w:tblGrid>
      <w:tr w:rsidR="00AC2D81" w:rsidRPr="000B4269" w14:paraId="0F4C4712" w14:textId="5D806176" w:rsidTr="00AC2D81">
        <w:trPr>
          <w:tblHeader/>
          <w:tblCellSpacing w:w="15" w:type="dxa"/>
        </w:trPr>
        <w:tc>
          <w:tcPr>
            <w:tcW w:w="610" w:type="pct"/>
            <w:shd w:val="clear" w:color="auto" w:fill="3B53CD"/>
            <w:vAlign w:val="center"/>
          </w:tcPr>
          <w:p w14:paraId="3DC8F9DE" w14:textId="4417F986" w:rsidR="00AC2D81" w:rsidRPr="000B4269" w:rsidRDefault="00AC2D81" w:rsidP="000B426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Contract name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shd w:val="clear" w:color="auto" w:fill="3B53CD"/>
            <w:vAlign w:val="center"/>
          </w:tcPr>
          <w:p w14:paraId="62269A4E" w14:textId="66CC605F" w:rsidR="00AC2D81" w:rsidRPr="000B4269" w:rsidRDefault="00AC2D81" w:rsidP="000B426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Contract parties</w:t>
            </w:r>
          </w:p>
        </w:tc>
        <w:tc>
          <w:tcPr>
            <w:tcW w:w="614" w:type="pct"/>
            <w:shd w:val="clear" w:color="auto" w:fill="3B53CD"/>
            <w:vAlign w:val="center"/>
          </w:tcPr>
          <w:p w14:paraId="7DFA884F" w14:textId="35F0D3A2" w:rsidR="00AC2D81" w:rsidRPr="000B4269" w:rsidRDefault="00AC2D81" w:rsidP="000B426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Applies to which Company or Group Company</w:t>
            </w:r>
          </w:p>
        </w:tc>
        <w:tc>
          <w:tcPr>
            <w:tcW w:w="612" w:type="pct"/>
            <w:shd w:val="clear" w:color="auto" w:fill="3B53CD"/>
            <w:vAlign w:val="center"/>
          </w:tcPr>
          <w:p w14:paraId="265925F4" w14:textId="3ACFB982" w:rsidR="00AC2D81" w:rsidRPr="000B4269" w:rsidRDefault="00AC2D81" w:rsidP="000B426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Definition of change of control</w:t>
            </w:r>
          </w:p>
        </w:tc>
        <w:tc>
          <w:tcPr>
            <w:tcW w:w="612" w:type="pct"/>
            <w:shd w:val="clear" w:color="auto" w:fill="3B53CD"/>
          </w:tcPr>
          <w:p w14:paraId="2127C901" w14:textId="46797B30" w:rsidR="00AC2D81" w:rsidRPr="000B4269" w:rsidRDefault="00AC2D81" w:rsidP="000B426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of restriction or prohibition</w:t>
            </w:r>
          </w:p>
        </w:tc>
        <w:tc>
          <w:tcPr>
            <w:tcW w:w="612" w:type="pct"/>
            <w:shd w:val="clear" w:color="auto" w:fill="3B53CD"/>
          </w:tcPr>
          <w:p w14:paraId="0E56FCBD" w14:textId="1511C7FE" w:rsidR="00AC2D81" w:rsidRPr="000B4269" w:rsidRDefault="00AC2D81" w:rsidP="000B426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Rights of the Counterparty </w:t>
            </w:r>
            <w:r w:rsidR="006B570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(Supplier) </w:t>
            </w: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 the Event of Change of Control</w:t>
            </w:r>
          </w:p>
        </w:tc>
        <w:tc>
          <w:tcPr>
            <w:tcW w:w="612" w:type="pct"/>
            <w:shd w:val="clear" w:color="auto" w:fill="3B53CD"/>
          </w:tcPr>
          <w:p w14:paraId="3A2A9C2D" w14:textId="7E79CEBB" w:rsidR="00AC2D81" w:rsidRPr="000B4269" w:rsidRDefault="00AC2D81" w:rsidP="000B426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Triggered by the proposed transaction</w:t>
            </w:r>
            <w:r w:rsidR="006B570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(Control Event)</w:t>
            </w: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609" w:type="pct"/>
            <w:shd w:val="clear" w:color="auto" w:fill="3B53CD"/>
          </w:tcPr>
          <w:p w14:paraId="0FB6490F" w14:textId="578A725E" w:rsidR="00AC2D81" w:rsidRPr="000B4269" w:rsidRDefault="00AC2D81" w:rsidP="000B426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2D8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Recommendations</w:t>
            </w:r>
          </w:p>
        </w:tc>
      </w:tr>
      <w:tr w:rsidR="00AC2D81" w:rsidRPr="000B4269" w14:paraId="15C40D41" w14:textId="5F1D8EB4" w:rsidTr="00AC2D81">
        <w:trPr>
          <w:tblCellSpacing w:w="15" w:type="dxa"/>
        </w:trPr>
        <w:tc>
          <w:tcPr>
            <w:tcW w:w="610" w:type="pct"/>
          </w:tcPr>
          <w:p w14:paraId="7C4F477D" w14:textId="1E8A558D" w:rsidR="00AC2D81" w:rsidRPr="000B4269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[Contract name]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</w:tcPr>
          <w:p w14:paraId="054A1E38" w14:textId="77777777" w:rsidR="006B5708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[Supplier name] ([</w:t>
            </w:r>
            <w:r w:rsidRPr="006B5708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  <w:r w:rsidRPr="00AC2D81">
              <w:rPr>
                <w:rFonts w:ascii="Arial" w:hAnsi="Arial" w:cs="Arial"/>
                <w:sz w:val="20"/>
                <w:szCs w:val="20"/>
              </w:rPr>
              <w:t xml:space="preserve">]) </w:t>
            </w:r>
          </w:p>
          <w:p w14:paraId="08769155" w14:textId="67DC30D4" w:rsidR="00AC2D81" w:rsidRPr="000B4269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[Company or Group Company] ([</w:t>
            </w:r>
            <w:r w:rsidRPr="006B570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r w:rsidRPr="00AC2D81">
              <w:rPr>
                <w:rFonts w:ascii="Arial" w:hAnsi="Arial" w:cs="Arial"/>
                <w:sz w:val="20"/>
                <w:szCs w:val="20"/>
              </w:rPr>
              <w:t>])</w:t>
            </w:r>
          </w:p>
        </w:tc>
        <w:tc>
          <w:tcPr>
            <w:tcW w:w="614" w:type="pct"/>
          </w:tcPr>
          <w:p w14:paraId="47B2145D" w14:textId="04B426B7" w:rsidR="00AC2D81" w:rsidRPr="000B4269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Identify the company or group company that the change of control restriction or prohibition applies to</w:t>
            </w:r>
          </w:p>
        </w:tc>
        <w:tc>
          <w:tcPr>
            <w:tcW w:w="612" w:type="pct"/>
          </w:tcPr>
          <w:p w14:paraId="558BB87B" w14:textId="215D67C4" w:rsidR="00AC2D81" w:rsidRPr="000B4269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[Definition of change of control]</w:t>
            </w:r>
          </w:p>
        </w:tc>
        <w:tc>
          <w:tcPr>
            <w:tcW w:w="612" w:type="pct"/>
          </w:tcPr>
          <w:p w14:paraId="0BF86975" w14:textId="3CDD0A81" w:rsidR="00AC2D81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[Type of restriction or prohibition]</w:t>
            </w:r>
          </w:p>
        </w:tc>
        <w:tc>
          <w:tcPr>
            <w:tcW w:w="612" w:type="pct"/>
          </w:tcPr>
          <w:p w14:paraId="53F26DB7" w14:textId="164A248A" w:rsidR="00AC2D81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[What are the rights of the Counterparty in the Event of Change of Control?]</w:t>
            </w:r>
          </w:p>
        </w:tc>
        <w:tc>
          <w:tcPr>
            <w:tcW w:w="612" w:type="pct"/>
          </w:tcPr>
          <w:p w14:paraId="1667F8DF" w14:textId="30296ABA" w:rsidR="00AC2D81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[Triggered by the proposed transaction?]</w:t>
            </w:r>
          </w:p>
        </w:tc>
        <w:tc>
          <w:tcPr>
            <w:tcW w:w="609" w:type="pct"/>
          </w:tcPr>
          <w:p w14:paraId="2DC3525D" w14:textId="69B55139" w:rsidR="00AC2D81" w:rsidRDefault="00AC2D81" w:rsidP="000B4269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[Recommendations]</w:t>
            </w:r>
          </w:p>
        </w:tc>
      </w:tr>
    </w:tbl>
    <w:p w14:paraId="1DCEEC58" w14:textId="77777777" w:rsidR="00E66E32" w:rsidRPr="00DD7AFD" w:rsidRDefault="00E66E32" w:rsidP="00E66E32">
      <w:pPr>
        <w:rPr>
          <w:rFonts w:ascii="Arial" w:hAnsi="Arial" w:cs="Arial"/>
          <w:b/>
          <w:bCs/>
          <w:sz w:val="22"/>
          <w:szCs w:val="22"/>
        </w:rPr>
      </w:pPr>
      <w:r w:rsidRPr="00DD7AFD">
        <w:rPr>
          <w:rFonts w:ascii="Arial" w:hAnsi="Arial" w:cs="Arial"/>
          <w:b/>
          <w:bCs/>
          <w:sz w:val="22"/>
          <w:szCs w:val="22"/>
        </w:rPr>
        <w:t>Glossary</w:t>
      </w:r>
    </w:p>
    <w:p w14:paraId="264DB40D" w14:textId="77777777" w:rsidR="00E66E32" w:rsidRDefault="00E66E32" w:rsidP="00E66E32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Capitalised</w:t>
      </w:r>
      <w:proofErr w:type="spellEnd"/>
      <w:r w:rsidRPr="00DD7AFD">
        <w:rPr>
          <w:rFonts w:ascii="Arial" w:hAnsi="Arial" w:cs="Arial"/>
          <w:sz w:val="22"/>
          <w:szCs w:val="22"/>
        </w:rPr>
        <w:t xml:space="preserve"> terms used </w:t>
      </w:r>
      <w:r>
        <w:rPr>
          <w:rFonts w:ascii="Arial" w:hAnsi="Arial" w:cs="Arial"/>
          <w:sz w:val="22"/>
          <w:szCs w:val="22"/>
        </w:rPr>
        <w:t xml:space="preserve">in this Report </w:t>
      </w:r>
      <w:r w:rsidRPr="00DD7AFD">
        <w:rPr>
          <w:rFonts w:ascii="Arial" w:hAnsi="Arial" w:cs="Arial"/>
          <w:sz w:val="22"/>
          <w:szCs w:val="22"/>
        </w:rPr>
        <w:t>are defined at the end of the Report.</w:t>
      </w:r>
    </w:p>
    <w:p w14:paraId="0A85E286" w14:textId="21A4497B" w:rsidR="00E66E32" w:rsidRDefault="00E66E32" w:rsidP="00217059">
      <w:pPr>
        <w:rPr>
          <w:rFonts w:ascii="Arial" w:hAnsi="Arial" w:cs="Arial"/>
          <w:b/>
          <w:bCs/>
          <w:sz w:val="22"/>
          <w:szCs w:val="22"/>
        </w:rPr>
      </w:pPr>
    </w:p>
    <w:p w14:paraId="36A3C67B" w14:textId="77777777" w:rsidR="00E66E32" w:rsidRDefault="00E66E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4E789F4" w14:textId="341DC508" w:rsidR="00217059" w:rsidRDefault="00E66E32" w:rsidP="002170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Glossary </w:t>
      </w:r>
    </w:p>
    <w:tbl>
      <w:tblPr>
        <w:tblW w:w="5000" w:type="pct"/>
        <w:tblCellSpacing w:w="15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5968"/>
        <w:gridCol w:w="6992"/>
      </w:tblGrid>
      <w:tr w:rsidR="00E66E32" w:rsidRPr="00DD7AFD" w14:paraId="29C83E8E" w14:textId="77777777" w:rsidTr="00E66E32">
        <w:trPr>
          <w:tblHeader/>
          <w:tblCellSpacing w:w="15" w:type="dxa"/>
        </w:trPr>
        <w:tc>
          <w:tcPr>
            <w:tcW w:w="2285" w:type="pct"/>
            <w:shd w:val="clear" w:color="auto" w:fill="3B53CD"/>
            <w:vAlign w:val="center"/>
            <w:hideMark/>
          </w:tcPr>
          <w:p w14:paraId="2EC43C6E" w14:textId="77777777" w:rsidR="00E66E32" w:rsidRPr="00DD7AFD" w:rsidRDefault="00E66E32" w:rsidP="00485F2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7A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</w:t>
            </w:r>
          </w:p>
        </w:tc>
        <w:tc>
          <w:tcPr>
            <w:tcW w:w="2680" w:type="pct"/>
            <w:shd w:val="clear" w:color="auto" w:fill="3B53CD"/>
            <w:vAlign w:val="center"/>
            <w:hideMark/>
          </w:tcPr>
          <w:p w14:paraId="394F143D" w14:textId="77777777" w:rsidR="00E66E32" w:rsidRPr="00DD7AFD" w:rsidRDefault="00E66E32" w:rsidP="00485F2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D7A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Definition</w:t>
            </w:r>
          </w:p>
        </w:tc>
      </w:tr>
      <w:tr w:rsidR="00E66E32" w:rsidRPr="00DD7AFD" w14:paraId="6A95FE62" w14:textId="77777777" w:rsidTr="00D37144">
        <w:trPr>
          <w:tblCellSpacing w:w="15" w:type="dxa"/>
        </w:trPr>
        <w:tc>
          <w:tcPr>
            <w:tcW w:w="2285" w:type="pct"/>
            <w:vAlign w:val="center"/>
          </w:tcPr>
          <w:p w14:paraId="66D3A28F" w14:textId="027DB8D3" w:rsidR="00E66E32" w:rsidRPr="00DD7AF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DD7AFD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2680" w:type="pct"/>
          </w:tcPr>
          <w:p w14:paraId="601040E2" w14:textId="2C28154D" w:rsidR="00E66E32" w:rsidRPr="00DD7AF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DD7AFD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  <w:tr w:rsidR="00E66E32" w:rsidRPr="00DD7AFD" w14:paraId="68F01C46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021491A0" w14:textId="1C7287C5" w:rsidR="00E66E32" w:rsidRPr="00DD7AF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DD7AFD">
              <w:rPr>
                <w:rFonts w:ascii="Arial" w:hAnsi="Arial" w:cs="Arial"/>
                <w:sz w:val="20"/>
                <w:szCs w:val="20"/>
              </w:rPr>
              <w:t>Company Group</w:t>
            </w:r>
          </w:p>
        </w:tc>
        <w:tc>
          <w:tcPr>
            <w:tcW w:w="2680" w:type="pct"/>
            <w:vAlign w:val="center"/>
          </w:tcPr>
          <w:p w14:paraId="6A2357E7" w14:textId="5B69608B" w:rsidR="00E66E32" w:rsidRPr="00DD7AF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DD7AFD">
              <w:rPr>
                <w:rFonts w:ascii="Arial" w:hAnsi="Arial" w:cs="Arial"/>
                <w:sz w:val="20"/>
                <w:szCs w:val="20"/>
              </w:rPr>
              <w:t>The Group Company and the Company's interest in the Affiliated Company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2D81" w:rsidRPr="00DD7AFD" w14:paraId="36ABC16E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096B3BC0" w14:textId="5E5F93A1" w:rsidR="00AC2D81" w:rsidRPr="00DD7AFD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Control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</w:tcPr>
          <w:p w14:paraId="71DFED9E" w14:textId="13AF72CA" w:rsidR="00AC2D81" w:rsidRPr="00DD7AFD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The triggering of a Control Provision by the Proposed Transaction</w:t>
            </w:r>
          </w:p>
        </w:tc>
      </w:tr>
      <w:tr w:rsidR="00AC2D81" w:rsidRPr="00DD7AFD" w14:paraId="1D8EAD84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7F8F9540" w14:textId="76941361" w:rsidR="00AC2D81" w:rsidRPr="00DD7AFD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Control Provision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</w:tcPr>
          <w:p w14:paraId="425DA4F9" w14:textId="29B86714" w:rsidR="00AC2D81" w:rsidRPr="00DD7AFD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A 'change of control' provision that applies to a member of the Company Group</w:t>
            </w:r>
          </w:p>
        </w:tc>
      </w:tr>
      <w:tr w:rsidR="00AC2D81" w:rsidRPr="00DD7AFD" w14:paraId="089185CA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0DD5093C" w14:textId="3D9B827E" w:rsidR="00AC2D81" w:rsidRPr="00AC2D81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Materiality Threshold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</w:tcPr>
          <w:p w14:paraId="40D00D0D" w14:textId="11E9F385" w:rsidR="00AC2D81" w:rsidRPr="00AC2D81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  <w:tr w:rsidR="00E66E32" w:rsidRPr="00DD7AFD" w14:paraId="60B7EF93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5E7994BA" w14:textId="7828E26C" w:rsidR="00E66E32" w:rsidRPr="00DD7AFD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Proposed Transaction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</w:tcPr>
          <w:p w14:paraId="794B819A" w14:textId="0337397E" w:rsidR="00E66E32" w:rsidRPr="00DD7AF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DD7AFD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  <w:tr w:rsidR="00E66E32" w:rsidRPr="00DD7AFD" w14:paraId="3575B4D0" w14:textId="77777777" w:rsidTr="00832DEA">
        <w:trPr>
          <w:tblCellSpacing w:w="15" w:type="dxa"/>
        </w:trPr>
        <w:tc>
          <w:tcPr>
            <w:tcW w:w="2285" w:type="pct"/>
            <w:vAlign w:val="center"/>
          </w:tcPr>
          <w:p w14:paraId="58154CBE" w14:textId="164FE9D2" w:rsidR="00E66E32" w:rsidRPr="00DD7AF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DD7AFD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2680" w:type="pct"/>
            <w:vAlign w:val="center"/>
          </w:tcPr>
          <w:p w14:paraId="442E0B56" w14:textId="12C9EA8B" w:rsidR="00E66E32" w:rsidRPr="00DD7AF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DD7AFD">
              <w:rPr>
                <w:rFonts w:ascii="Arial" w:hAnsi="Arial" w:cs="Arial"/>
                <w:sz w:val="20"/>
                <w:szCs w:val="20"/>
              </w:rPr>
              <w:t>This due diligence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2D81" w:rsidRPr="00DD7AFD" w14:paraId="2CAE455F" w14:textId="77777777" w:rsidTr="00832DEA">
        <w:trPr>
          <w:tblCellSpacing w:w="15" w:type="dxa"/>
        </w:trPr>
        <w:tc>
          <w:tcPr>
            <w:tcW w:w="2285" w:type="pct"/>
            <w:vAlign w:val="center"/>
          </w:tcPr>
          <w:p w14:paraId="4FF1FFE5" w14:textId="0606F02D" w:rsidR="00AC2D81" w:rsidRPr="00DD7AFD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Supplier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  <w:vAlign w:val="center"/>
          </w:tcPr>
          <w:p w14:paraId="11F2DA52" w14:textId="5338AAE4" w:rsidR="00AC2D81" w:rsidRPr="00DD7AFD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The party providing goods and/or services under a Supplier Contract</w:t>
            </w:r>
          </w:p>
        </w:tc>
      </w:tr>
      <w:tr w:rsidR="00AC2D81" w:rsidRPr="00DD7AFD" w14:paraId="218A826F" w14:textId="77777777" w:rsidTr="00832DEA">
        <w:trPr>
          <w:tblCellSpacing w:w="15" w:type="dxa"/>
        </w:trPr>
        <w:tc>
          <w:tcPr>
            <w:tcW w:w="2285" w:type="pct"/>
            <w:vAlign w:val="center"/>
          </w:tcPr>
          <w:p w14:paraId="68921CAE" w14:textId="3A7778DB" w:rsidR="00AC2D81" w:rsidRPr="00AC2D81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Supplier Contracts</w:t>
            </w:r>
          </w:p>
        </w:tc>
        <w:tc>
          <w:tcPr>
            <w:tcW w:w="2680" w:type="pct"/>
            <w:vAlign w:val="center"/>
          </w:tcPr>
          <w:p w14:paraId="486338E5" w14:textId="4AF3A859" w:rsidR="00AC2D81" w:rsidRPr="00AC2D81" w:rsidRDefault="00AC2D81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AC2D81">
              <w:rPr>
                <w:rFonts w:ascii="Arial" w:hAnsi="Arial" w:cs="Arial"/>
                <w:sz w:val="20"/>
                <w:szCs w:val="20"/>
              </w:rPr>
              <w:t>Contracts under which a member of the Company Group buys goods and/or services from a supplier</w:t>
            </w:r>
          </w:p>
        </w:tc>
      </w:tr>
    </w:tbl>
    <w:p w14:paraId="6688F24C" w14:textId="77777777" w:rsidR="00E66E32" w:rsidRDefault="00E66E32" w:rsidP="00217059">
      <w:pPr>
        <w:rPr>
          <w:rFonts w:ascii="Arial" w:hAnsi="Arial" w:cs="Arial"/>
          <w:b/>
          <w:bCs/>
          <w:sz w:val="22"/>
          <w:szCs w:val="22"/>
        </w:rPr>
      </w:pPr>
    </w:p>
    <w:sectPr w:rsidR="00E66E32" w:rsidSect="00BD70B5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2BD57" w14:textId="77777777" w:rsidR="0060536D" w:rsidRDefault="0060536D" w:rsidP="00C9266E">
      <w:pPr>
        <w:spacing w:after="0" w:line="240" w:lineRule="auto"/>
      </w:pPr>
      <w:r>
        <w:separator/>
      </w:r>
    </w:p>
  </w:endnote>
  <w:endnote w:type="continuationSeparator" w:id="0">
    <w:p w14:paraId="5939D49E" w14:textId="77777777" w:rsidR="0060536D" w:rsidRDefault="0060536D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CC8FE" w14:textId="77777777" w:rsidR="0060536D" w:rsidRDefault="0060536D" w:rsidP="00C9266E">
      <w:pPr>
        <w:spacing w:after="0" w:line="240" w:lineRule="auto"/>
      </w:pPr>
      <w:r>
        <w:separator/>
      </w:r>
    </w:p>
  </w:footnote>
  <w:footnote w:type="continuationSeparator" w:id="0">
    <w:p w14:paraId="4E8E9EF1" w14:textId="77777777" w:rsidR="0060536D" w:rsidRDefault="0060536D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560F"/>
    <w:multiLevelType w:val="multilevel"/>
    <w:tmpl w:val="8CB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B379F"/>
    <w:multiLevelType w:val="multilevel"/>
    <w:tmpl w:val="233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BB9"/>
    <w:multiLevelType w:val="multilevel"/>
    <w:tmpl w:val="CEB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D0482"/>
    <w:multiLevelType w:val="multilevel"/>
    <w:tmpl w:val="271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F1098"/>
    <w:multiLevelType w:val="multilevel"/>
    <w:tmpl w:val="756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56BF3"/>
    <w:multiLevelType w:val="multilevel"/>
    <w:tmpl w:val="49A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C0556"/>
    <w:multiLevelType w:val="multilevel"/>
    <w:tmpl w:val="C3B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119C3"/>
    <w:multiLevelType w:val="multilevel"/>
    <w:tmpl w:val="F49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5116">
    <w:abstractNumId w:val="8"/>
  </w:num>
  <w:num w:numId="2" w16cid:durableId="819462268">
    <w:abstractNumId w:val="3"/>
  </w:num>
  <w:num w:numId="3" w16cid:durableId="1410274012">
    <w:abstractNumId w:val="2"/>
  </w:num>
  <w:num w:numId="4" w16cid:durableId="1262104165">
    <w:abstractNumId w:val="11"/>
  </w:num>
  <w:num w:numId="5" w16cid:durableId="918103500">
    <w:abstractNumId w:val="6"/>
  </w:num>
  <w:num w:numId="6" w16cid:durableId="1194996068">
    <w:abstractNumId w:val="9"/>
  </w:num>
  <w:num w:numId="7" w16cid:durableId="972835290">
    <w:abstractNumId w:val="0"/>
  </w:num>
  <w:num w:numId="8" w16cid:durableId="589236985">
    <w:abstractNumId w:val="10"/>
  </w:num>
  <w:num w:numId="9" w16cid:durableId="607205197">
    <w:abstractNumId w:val="1"/>
  </w:num>
  <w:num w:numId="10" w16cid:durableId="1838572729">
    <w:abstractNumId w:val="4"/>
  </w:num>
  <w:num w:numId="11" w16cid:durableId="1883059298">
    <w:abstractNumId w:val="7"/>
  </w:num>
  <w:num w:numId="12" w16cid:durableId="1201551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B4269"/>
    <w:rsid w:val="00172F66"/>
    <w:rsid w:val="001E3621"/>
    <w:rsid w:val="00217059"/>
    <w:rsid w:val="004D28F8"/>
    <w:rsid w:val="005058B7"/>
    <w:rsid w:val="00551920"/>
    <w:rsid w:val="00573095"/>
    <w:rsid w:val="005E5CA5"/>
    <w:rsid w:val="0060536D"/>
    <w:rsid w:val="00646FDE"/>
    <w:rsid w:val="006B5708"/>
    <w:rsid w:val="00836111"/>
    <w:rsid w:val="00965821"/>
    <w:rsid w:val="0098058E"/>
    <w:rsid w:val="009E672F"/>
    <w:rsid w:val="00A67788"/>
    <w:rsid w:val="00AA74FD"/>
    <w:rsid w:val="00AC2D81"/>
    <w:rsid w:val="00BD70B5"/>
    <w:rsid w:val="00C01E14"/>
    <w:rsid w:val="00C9266E"/>
    <w:rsid w:val="00D230AC"/>
    <w:rsid w:val="00DE59E5"/>
    <w:rsid w:val="00E66E32"/>
    <w:rsid w:val="00E74365"/>
    <w:rsid w:val="00EF608B"/>
    <w:rsid w:val="00F968A1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9559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6547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46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9210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135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9</cp:revision>
  <dcterms:created xsi:type="dcterms:W3CDTF">2024-10-20T19:29:00Z</dcterms:created>
  <dcterms:modified xsi:type="dcterms:W3CDTF">2024-10-22T18:37:00Z</dcterms:modified>
</cp:coreProperties>
</file>